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20" w:afterLines="20" w:line="360" w:lineRule="auto"/>
        <w:jc w:val="center"/>
        <w:rPr>
          <w:rFonts w:ascii="宋体" w:hAnsi="宋体"/>
          <w:b/>
          <w:sz w:val="72"/>
          <w:szCs w:val="72"/>
        </w:rPr>
      </w:pPr>
      <w:bookmarkStart w:id="0" w:name="OLE_LINK8"/>
      <w:bookmarkStart w:id="1" w:name="OLE_LINK7"/>
    </w:p>
    <w:p>
      <w:pPr>
        <w:adjustRightInd w:val="0"/>
        <w:snapToGrid w:val="0"/>
        <w:spacing w:beforeLines="20" w:afterLines="20" w:line="360" w:lineRule="auto"/>
        <w:jc w:val="center"/>
        <w:rPr>
          <w:rFonts w:ascii="宋体" w:hAnsi="宋体"/>
          <w:b/>
          <w:sz w:val="56"/>
          <w:szCs w:val="56"/>
        </w:rPr>
      </w:pPr>
    </w:p>
    <w:p>
      <w:pPr>
        <w:adjustRightInd w:val="0"/>
        <w:snapToGrid w:val="0"/>
        <w:spacing w:beforeLines="20" w:afterLines="20" w:line="360" w:lineRule="auto"/>
        <w:jc w:val="center"/>
        <w:outlineLvl w:val="0"/>
        <w:rPr>
          <w:rFonts w:hint="eastAsia" w:ascii="方正小标宋简体" w:hAnsi="方正小标宋简体" w:eastAsia="方正小标宋简体" w:cs="方正小标宋简体"/>
          <w:b w:val="0"/>
          <w:bCs/>
          <w:sz w:val="48"/>
          <w:szCs w:val="48"/>
        </w:rPr>
      </w:pPr>
      <w:bookmarkStart w:id="2" w:name="_Toc29289"/>
      <w:r>
        <w:rPr>
          <w:rFonts w:hint="eastAsia" w:ascii="方正小标宋简体" w:hAnsi="方正小标宋简体" w:eastAsia="方正小标宋简体" w:cs="方正小标宋简体"/>
          <w:b w:val="0"/>
          <w:bCs/>
          <w:sz w:val="48"/>
          <w:szCs w:val="48"/>
        </w:rPr>
        <w:t>黄山屏水公司诉讼代理律师服务项目</w:t>
      </w:r>
      <w:bookmarkEnd w:id="2"/>
    </w:p>
    <w:p>
      <w:pPr>
        <w:adjustRightInd w:val="0"/>
        <w:snapToGrid w:val="0"/>
        <w:spacing w:beforeLines="20" w:afterLines="20" w:line="360" w:lineRule="auto"/>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询 比 采 购 文 件</w:t>
      </w: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采购人：黄山屏水文化旅游有限公司</w:t>
      </w: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32"/>
          <w:szCs w:val="32"/>
        </w:rPr>
      </w:pPr>
    </w:p>
    <w:p>
      <w:pPr>
        <w:adjustRightInd w:val="0"/>
        <w:snapToGrid w:val="0"/>
        <w:spacing w:beforeLines="20" w:afterLines="20" w:line="360" w:lineRule="auto"/>
        <w:ind w:right="-840" w:rightChars="-400" w:firstLine="3840" w:firstLineChars="1200"/>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二○二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一</w:t>
      </w:r>
      <w:r>
        <w:rPr>
          <w:rFonts w:hint="eastAsia" w:ascii="方正小标宋简体" w:hAnsi="方正小标宋简体" w:eastAsia="方正小标宋简体" w:cs="方正小标宋简体"/>
          <w:b w:val="0"/>
          <w:bCs/>
          <w:sz w:val="32"/>
          <w:szCs w:val="32"/>
        </w:rPr>
        <w:t>月</w:t>
      </w:r>
      <w:bookmarkEnd w:id="0"/>
      <w:bookmarkEnd w:id="1"/>
    </w:p>
    <w:p>
      <w:pPr>
        <w:pStyle w:val="2"/>
        <w:outlineLvl w:val="9"/>
        <w:rPr>
          <w:b/>
          <w:bCs w:val="0"/>
        </w:rPr>
        <w:sectPr>
          <w:footerReference r:id="rId3" w:type="first"/>
          <w:pgSz w:w="11906" w:h="16838"/>
          <w:pgMar w:top="1134" w:right="1134" w:bottom="1134" w:left="1134" w:header="851" w:footer="992" w:gutter="0"/>
          <w:cols w:space="720" w:num="1"/>
          <w:docGrid w:type="lines" w:linePitch="312" w:charSpace="0"/>
        </w:sectPr>
      </w:pPr>
    </w:p>
    <w:p>
      <w:pPr>
        <w:widowControl/>
        <w:spacing w:afterLines="100"/>
        <w:jc w:val="center"/>
        <w:rPr>
          <w:rFonts w:ascii="黑体" w:hAnsi="黑体" w:eastAsia="黑体"/>
          <w:b/>
          <w:bCs/>
          <w:kern w:val="44"/>
          <w:sz w:val="48"/>
          <w:szCs w:val="48"/>
        </w:rPr>
      </w:pPr>
      <w:bookmarkStart w:id="3" w:name="_Toc521343931"/>
      <w:r>
        <w:rPr>
          <w:rFonts w:hint="eastAsia" w:ascii="黑体" w:hAnsi="黑体" w:eastAsia="黑体"/>
          <w:b/>
          <w:bCs/>
          <w:kern w:val="44"/>
          <w:sz w:val="48"/>
          <w:szCs w:val="48"/>
        </w:rPr>
        <w:t>目录</w:t>
      </w:r>
    </w:p>
    <w:sdt>
      <w:sdtPr>
        <w:rPr>
          <w:rFonts w:ascii="宋体" w:hAnsi="宋体" w:eastAsia="宋体" w:cs="Times New Roman"/>
          <w:kern w:val="2"/>
          <w:sz w:val="21"/>
          <w:szCs w:val="22"/>
          <w:lang w:val="en-US" w:eastAsia="zh-CN" w:bidi="ar-SA"/>
        </w:rPr>
        <w:id w:val="147475080"/>
        <w15:color w:val="DBDBDB"/>
        <w:docPartObj>
          <w:docPartGallery w:val="Table of Contents"/>
          <w:docPartUnique/>
        </w:docPartObj>
      </w:sdtPr>
      <w:sdtEndPr>
        <w:rPr>
          <w:rFonts w:hint="eastAsia" w:ascii="仿宋_GB2312" w:hAnsi="仿宋_GB2312" w:eastAsia="仿宋_GB2312" w:cs="仿宋_GB2312"/>
          <w:bCs/>
          <w:kern w:val="44"/>
          <w:sz w:val="32"/>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TOC \o "1-1" \h \u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_Toc10311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第一章 询比采购公告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_Toc22167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_Toc19038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sz w:val="32"/>
              <w:szCs w:val="32"/>
            </w:rPr>
            <w:t>第三章 评标办法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_Toc26520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第四章 合同条款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_Toc2089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第五章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widowControl/>
            <w:topLinePunct/>
            <w:spacing w:line="360" w:lineRule="auto"/>
            <w:jc w:val="center"/>
            <w:outlineLvl w:val="9"/>
            <w:rPr>
              <w:rFonts w:hint="eastAsia" w:ascii="仿宋_GB2312" w:hAnsi="仿宋_GB2312" w:eastAsia="仿宋_GB2312" w:cs="仿宋_GB2312"/>
              <w:bCs/>
              <w:kern w:val="44"/>
              <w:sz w:val="32"/>
              <w:szCs w:val="32"/>
            </w:rPr>
            <w:sectPr>
              <w:footerReference r:id="rId6" w:type="first"/>
              <w:headerReference r:id="rId4" w:type="default"/>
              <w:footerReference r:id="rId5" w:type="default"/>
              <w:pgSz w:w="11906" w:h="16838"/>
              <w:pgMar w:top="1418" w:right="1555" w:bottom="1418" w:left="1531" w:header="851" w:footer="992" w:gutter="0"/>
              <w:pgNumType w:fmt="decimal" w:start="1"/>
              <w:cols w:space="720" w:num="1"/>
              <w:titlePg/>
              <w:docGrid w:type="lines" w:linePitch="312" w:charSpace="0"/>
            </w:sectPr>
          </w:pPr>
          <w:r>
            <w:rPr>
              <w:rFonts w:hint="eastAsia" w:ascii="仿宋_GB2312" w:hAnsi="仿宋_GB2312" w:eastAsia="仿宋_GB2312" w:cs="仿宋_GB2312"/>
              <w:bCs/>
              <w:kern w:val="44"/>
              <w:sz w:val="32"/>
              <w:szCs w:val="32"/>
            </w:rPr>
            <w:fldChar w:fldCharType="end"/>
          </w:r>
        </w:p>
      </w:sdtContent>
    </w:sdt>
    <w:p>
      <w:pPr>
        <w:widowControl/>
        <w:topLinePunct/>
        <w:spacing w:line="360" w:lineRule="auto"/>
        <w:jc w:val="center"/>
        <w:outlineLvl w:val="0"/>
        <w:rPr>
          <w:rFonts w:hint="eastAsia" w:ascii="方正小标宋简体" w:hAnsi="方正小标宋简体" w:eastAsia="方正小标宋简体" w:cs="方正小标宋简体"/>
          <w:b w:val="0"/>
          <w:bCs w:val="0"/>
          <w:kern w:val="44"/>
          <w:sz w:val="40"/>
          <w:szCs w:val="40"/>
        </w:rPr>
      </w:pPr>
      <w:bookmarkStart w:id="4" w:name="_Toc10311"/>
      <w:bookmarkStart w:id="5" w:name="_Toc2421"/>
      <w:r>
        <w:rPr>
          <w:rFonts w:hint="eastAsia" w:ascii="方正小标宋简体" w:hAnsi="方正小标宋简体" w:eastAsia="方正小标宋简体" w:cs="方正小标宋简体"/>
          <w:b w:val="0"/>
          <w:bCs w:val="0"/>
          <w:kern w:val="44"/>
          <w:sz w:val="40"/>
          <w:szCs w:val="40"/>
        </w:rPr>
        <w:t>第一章 询比采购公告</w:t>
      </w:r>
      <w:bookmarkEnd w:id="3"/>
      <w:bookmarkEnd w:id="4"/>
      <w:bookmarkEnd w:id="5"/>
    </w:p>
    <w:p>
      <w:pPr>
        <w:keepNext w:val="0"/>
        <w:keepLines w:val="0"/>
        <w:pageBreakBefore w:val="0"/>
        <w:widowControl w:val="0"/>
        <w:kinsoku/>
        <w:overflowPunct/>
        <w:topLinePunct/>
        <w:autoSpaceDE/>
        <w:autoSpaceDN/>
        <w:bidi w:val="0"/>
        <w:spacing w:line="560" w:lineRule="exact"/>
        <w:ind w:left="0" w:firstLine="562" w:firstLineChars="200"/>
        <w:jc w:val="center"/>
        <w:textAlignment w:val="auto"/>
        <w:rPr>
          <w:rFonts w:hint="eastAsia" w:ascii="仿宋_GB2312" w:hAnsi="仿宋_GB2312" w:eastAsia="仿宋_GB2312" w:cs="仿宋_GB2312"/>
          <w:b/>
          <w:bCs/>
          <w:sz w:val="28"/>
          <w:szCs w:val="28"/>
          <w:u w:val="single"/>
        </w:rPr>
      </w:pPr>
      <w:bookmarkStart w:id="6" w:name="OLE_LINK1"/>
      <w:r>
        <w:rPr>
          <w:rFonts w:hint="eastAsia" w:ascii="仿宋_GB2312" w:hAnsi="仿宋_GB2312" w:eastAsia="仿宋_GB2312" w:cs="仿宋_GB2312"/>
          <w:b/>
          <w:bCs/>
          <w:sz w:val="28"/>
          <w:szCs w:val="28"/>
        </w:rPr>
        <w:t>黄山屏水公司诉讼代理律师服务项目询比采购公告</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黄山屏水文旅旅游有限公司诉讼代理律师服务项目以询比采购的方式进行采购，欢迎合格供应商参加采购活动。</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7" w:name="_Toc342297579"/>
      <w:bookmarkStart w:id="8" w:name="_Toc342296122"/>
      <w:bookmarkStart w:id="9" w:name="_Toc144974481"/>
      <w:bookmarkStart w:id="10" w:name="_Toc152045513"/>
      <w:bookmarkStart w:id="11" w:name="_Toc455587206"/>
      <w:bookmarkStart w:id="12" w:name="_Toc466983863"/>
      <w:bookmarkStart w:id="13" w:name="_Toc241459597"/>
      <w:bookmarkStart w:id="14" w:name="_Toc179632529"/>
      <w:bookmarkStart w:id="15" w:name="_Toc371415887"/>
      <w:bookmarkStart w:id="16" w:name="_Toc152042289"/>
      <w:bookmarkStart w:id="17" w:name="_Toc445554670"/>
      <w:bookmarkStart w:id="18" w:name="_Toc500009056"/>
      <w:bookmarkStart w:id="19" w:name="_Toc500235577"/>
      <w:bookmarkStart w:id="20" w:name="_Toc455587022"/>
      <w:r>
        <w:rPr>
          <w:rFonts w:hint="eastAsia" w:ascii="仿宋_GB2312" w:hAnsi="仿宋_GB2312" w:eastAsia="仿宋_GB2312" w:cs="仿宋_GB2312"/>
          <w:b/>
          <w:sz w:val="28"/>
          <w:szCs w:val="28"/>
        </w:rPr>
        <w:t>一、项目概况与采购范围</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bookmarkStart w:id="21" w:name="_Toc152042290"/>
      <w:bookmarkStart w:id="22" w:name="_Toc144974482"/>
      <w:bookmarkStart w:id="23" w:name="_Toc152045514"/>
      <w:bookmarkStart w:id="24" w:name="_Toc241459598"/>
      <w:bookmarkStart w:id="25" w:name="_Toc179632530"/>
      <w:r>
        <w:rPr>
          <w:rFonts w:hint="eastAsia" w:ascii="仿宋_GB2312" w:hAnsi="仿宋_GB2312" w:eastAsia="仿宋_GB2312" w:cs="仿宋_GB2312"/>
          <w:sz w:val="28"/>
          <w:szCs w:val="28"/>
        </w:rPr>
        <w:t>1、项目名称：黄山屏水公司诉讼代理律师服务项目。</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2、标包划分：1个标包。</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3、采购范围：黄山屏水文化旅游有限公司起诉杭州萧山园林有限公司建设工程施工合同纠纷案件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以下简称“案件”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二审程序。</w:t>
      </w:r>
      <w:r>
        <w:rPr>
          <w:rFonts w:hint="eastAsia" w:ascii="仿宋_GB2312" w:hAnsi="仿宋_GB2312" w:eastAsia="仿宋_GB2312" w:cs="仿宋_GB2312"/>
          <w:sz w:val="28"/>
          <w:szCs w:val="28"/>
        </w:rPr>
        <w:t>包括但不限于提供调查、取证、代理出庭、代为调解、提起上诉、代收各类法律文书等服务。</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4、采购方式：询比采购。</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5、项目控制价</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基本代理费用：</w:t>
      </w:r>
      <w:r>
        <w:rPr>
          <w:rFonts w:hint="eastAsia" w:ascii="仿宋_GB2312" w:hAnsi="仿宋_GB2312" w:eastAsia="仿宋_GB2312" w:cs="仿宋_GB2312"/>
          <w:sz w:val="28"/>
          <w:szCs w:val="28"/>
          <w:highlight w:val="none"/>
          <w:u w:val="single"/>
          <w:lang w:val="en-US" w:eastAsia="zh-CN"/>
        </w:rPr>
        <w:t>4.7</w:t>
      </w:r>
      <w:r>
        <w:rPr>
          <w:rFonts w:hint="eastAsia" w:ascii="仿宋_GB2312" w:hAnsi="仿宋_GB2312" w:eastAsia="仿宋_GB2312" w:cs="仿宋_GB2312"/>
          <w:sz w:val="28"/>
          <w:szCs w:val="28"/>
          <w:highlight w:val="none"/>
          <w:u w:val="none"/>
          <w:lang w:val="en-US" w:eastAsia="zh-CN"/>
        </w:rPr>
        <w:t>万</w:t>
      </w:r>
      <w:r>
        <w:rPr>
          <w:rFonts w:hint="eastAsia" w:ascii="仿宋_GB2312" w:hAnsi="仿宋_GB2312" w:eastAsia="仿宋_GB2312" w:cs="仿宋_GB2312"/>
          <w:sz w:val="28"/>
          <w:szCs w:val="28"/>
          <w:highlight w:val="none"/>
          <w:lang w:val="en-US" w:eastAsia="zh-CN"/>
        </w:rPr>
        <w:t>元；</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风险代理费用：案件二审判决金额的</w:t>
      </w:r>
      <w:r>
        <w:rPr>
          <w:rFonts w:hint="eastAsia" w:ascii="仿宋_GB2312" w:hAnsi="仿宋_GB2312" w:eastAsia="仿宋_GB2312" w:cs="仿宋_GB2312"/>
          <w:sz w:val="28"/>
          <w:szCs w:val="28"/>
          <w:highlight w:val="none"/>
          <w:u w:val="single"/>
          <w:lang w:val="en-US" w:eastAsia="zh-CN"/>
        </w:rPr>
        <w:t xml:space="preserve"> 8 </w:t>
      </w:r>
      <w:r>
        <w:rPr>
          <w:rFonts w:hint="eastAsia" w:ascii="宋体" w:hAnsi="宋体" w:eastAsia="宋体" w:cs="宋体"/>
          <w:sz w:val="28"/>
          <w:szCs w:val="28"/>
          <w:highlight w:val="none"/>
          <w:u w:val="none"/>
          <w:lang w:val="en-US" w:eastAsia="zh-CN"/>
        </w:rPr>
        <w:t>％</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不含原判决金额</w:t>
      </w:r>
      <w:r>
        <w:rPr>
          <w:rFonts w:hint="eastAsia" w:ascii="宋体" w:hAnsi="宋体" w:cs="宋体"/>
          <w:sz w:val="28"/>
          <w:szCs w:val="28"/>
          <w:highlight w:val="none"/>
          <w:u w:val="none"/>
          <w:lang w:val="en-US" w:eastAsia="zh-CN"/>
        </w:rPr>
        <w:t>）。</w:t>
      </w:r>
    </w:p>
    <w:p>
      <w:pPr>
        <w:keepNext w:val="0"/>
        <w:keepLines w:val="0"/>
        <w:pageBreakBefore w:val="0"/>
        <w:widowControl w:val="0"/>
        <w:kinsoku/>
        <w:overflowPunct/>
        <w:topLinePunct/>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控制价制定依据：律所报价结果的平均值（不少于三家）。</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注：基本代理费与风险代理费的结算金额总计不超过</w:t>
      </w:r>
      <w:r>
        <w:rPr>
          <w:rFonts w:hint="eastAsia" w:ascii="仿宋_GB2312" w:hAnsi="仿宋_GB2312" w:eastAsia="仿宋_GB2312" w:cs="仿宋_GB2312"/>
          <w:b w:val="0"/>
          <w:bCs w:val="0"/>
          <w:sz w:val="28"/>
          <w:szCs w:val="28"/>
          <w:highlight w:val="none"/>
          <w:u w:val="single"/>
          <w:lang w:val="en-US" w:eastAsia="zh-CN"/>
        </w:rPr>
        <w:t>10</w:t>
      </w:r>
      <w:r>
        <w:rPr>
          <w:rFonts w:hint="eastAsia" w:ascii="仿宋_GB2312" w:hAnsi="仿宋_GB2312" w:eastAsia="仿宋_GB2312" w:cs="仿宋_GB2312"/>
          <w:b w:val="0"/>
          <w:bCs w:val="0"/>
          <w:sz w:val="28"/>
          <w:szCs w:val="28"/>
          <w:highlight w:val="none"/>
          <w:lang w:val="en-US" w:eastAsia="zh-CN"/>
        </w:rPr>
        <w:t>万元。</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6.履约期限：</w:t>
      </w:r>
      <w:r>
        <w:rPr>
          <w:rFonts w:hint="eastAsia" w:ascii="仿宋_GB2312" w:hAnsi="仿宋_GB2312" w:eastAsia="仿宋_GB2312" w:cs="仿宋_GB2312"/>
          <w:spacing w:val="-6"/>
          <w:sz w:val="28"/>
          <w:szCs w:val="28"/>
        </w:rPr>
        <w:t>自合同签订之日起至法院出具</w:t>
      </w:r>
      <w:r>
        <w:rPr>
          <w:rFonts w:hint="eastAsia" w:ascii="仿宋_GB2312" w:hAnsi="仿宋_GB2312" w:eastAsia="仿宋_GB2312" w:cs="仿宋_GB2312"/>
          <w:spacing w:val="-6"/>
          <w:sz w:val="28"/>
          <w:szCs w:val="28"/>
          <w:lang w:val="en-US" w:eastAsia="zh-CN"/>
        </w:rPr>
        <w:t>二审</w:t>
      </w:r>
      <w:r>
        <w:rPr>
          <w:rFonts w:hint="eastAsia" w:ascii="仿宋_GB2312" w:hAnsi="仿宋_GB2312" w:eastAsia="仿宋_GB2312" w:cs="仿宋_GB2312"/>
          <w:spacing w:val="-6"/>
          <w:sz w:val="28"/>
          <w:szCs w:val="28"/>
        </w:rPr>
        <w:t>判决书</w:t>
      </w:r>
      <w:r>
        <w:rPr>
          <w:rFonts w:hint="eastAsia" w:ascii="仿宋_GB2312" w:hAnsi="仿宋_GB2312" w:eastAsia="仿宋_GB2312" w:cs="仿宋_GB2312"/>
          <w:spacing w:val="-6"/>
          <w:sz w:val="28"/>
          <w:szCs w:val="28"/>
          <w:lang w:val="en-US" w:eastAsia="zh-CN"/>
        </w:rPr>
        <w:t>时止</w:t>
      </w:r>
      <w:r>
        <w:rPr>
          <w:rFonts w:hint="eastAsia" w:ascii="仿宋_GB2312" w:hAnsi="仿宋_GB2312" w:eastAsia="仿宋_GB2312" w:cs="仿宋_GB2312"/>
          <w:spacing w:val="-6"/>
          <w:sz w:val="28"/>
          <w:szCs w:val="28"/>
        </w:rPr>
        <w:t>。</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26" w:name="_Toc500009057"/>
      <w:bookmarkStart w:id="27" w:name="_Toc500235578"/>
      <w:bookmarkStart w:id="28" w:name="_Toc466983864"/>
      <w:bookmarkStart w:id="29" w:name="_Toc455587023"/>
      <w:bookmarkStart w:id="30" w:name="_Toc455587207"/>
      <w:bookmarkStart w:id="31" w:name="_Toc342296123"/>
      <w:bookmarkStart w:id="32" w:name="_Toc445554671"/>
      <w:bookmarkStart w:id="33" w:name="_Toc371415888"/>
      <w:bookmarkStart w:id="34" w:name="_Toc342297580"/>
      <w:r>
        <w:rPr>
          <w:rFonts w:hint="eastAsia" w:ascii="仿宋_GB2312" w:hAnsi="仿宋_GB2312" w:eastAsia="仿宋_GB2312" w:cs="仿宋_GB2312"/>
          <w:b/>
          <w:sz w:val="28"/>
          <w:szCs w:val="28"/>
        </w:rPr>
        <w:t>二、供应商资格要求</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1、投标人为在中华人民共和国境内注册独立法人，具备有效的律师事务所执业许可证（提供原件扫描件或复印件并加盖公章）</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2、安徽出版集团外聘法律顾问事务所备选库成员单位（2020-2023）</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3、未受过司法行政机关的行政处罚或律师协会的行业处分（提供相应证明材料或提供承诺，承诺书加盖公章，格式自拟）</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4、与案件利益人存在代理或其他业务关系的不得参加本项目（提供承诺，加盖公章，格式自拟）</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5、律师团队资格要求：（1）拟派律师团队</w:t>
      </w:r>
      <w:r>
        <w:rPr>
          <w:rFonts w:hint="eastAsia" w:ascii="仿宋_GB2312" w:hAnsi="仿宋_GB2312" w:eastAsia="仿宋_GB2312" w:cs="仿宋_GB2312"/>
          <w:sz w:val="28"/>
          <w:szCs w:val="28"/>
          <w:lang w:eastAsia="zh-CN"/>
        </w:rPr>
        <w:t>不得</w:t>
      </w:r>
      <w:r>
        <w:rPr>
          <w:rFonts w:hint="eastAsia" w:ascii="仿宋_GB2312" w:hAnsi="仿宋_GB2312" w:eastAsia="仿宋_GB2312" w:cs="仿宋_GB2312"/>
          <w:sz w:val="28"/>
          <w:szCs w:val="28"/>
        </w:rPr>
        <w:t>少于3人，</w:t>
      </w:r>
      <w:r>
        <w:rPr>
          <w:rFonts w:hint="eastAsia" w:ascii="仿宋_GB2312" w:hAnsi="仿宋_GB2312" w:eastAsia="仿宋_GB2312" w:cs="仿宋_GB2312"/>
          <w:sz w:val="28"/>
          <w:szCs w:val="28"/>
          <w:lang w:eastAsia="zh-CN"/>
        </w:rPr>
        <w:t>从业年限均应至少在</w:t>
      </w:r>
      <w:r>
        <w:rPr>
          <w:rFonts w:hint="eastAsia" w:ascii="仿宋_GB2312" w:hAnsi="仿宋_GB2312" w:eastAsia="仿宋_GB2312" w:cs="仿宋_GB2312"/>
          <w:sz w:val="28"/>
          <w:szCs w:val="28"/>
          <w:lang w:val="en-US" w:eastAsia="zh-CN"/>
        </w:rPr>
        <w:t>6年以上（包括助理），</w:t>
      </w:r>
      <w:r>
        <w:rPr>
          <w:rFonts w:hint="eastAsia" w:ascii="仿宋_GB2312" w:hAnsi="仿宋_GB2312" w:eastAsia="仿宋_GB2312" w:cs="仿宋_GB2312"/>
          <w:sz w:val="28"/>
          <w:szCs w:val="28"/>
        </w:rPr>
        <w:t>均应具有有</w:t>
      </w:r>
      <w:r>
        <w:rPr>
          <w:rFonts w:hint="eastAsia" w:ascii="仿宋_GB2312" w:hAnsi="仿宋_GB2312" w:eastAsia="仿宋_GB2312" w:cs="仿宋_GB2312"/>
          <w:sz w:val="28"/>
          <w:szCs w:val="28"/>
          <w:highlight w:val="none"/>
        </w:rPr>
        <w:t>效期内的律师执业资格证书；（2）拟派律师团队中须不少于2人具有建筑房地产专业执业证书（提供团队人员名单及证书复印件并加盖公章）</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6、投标人（不含分所）存在以下不良信用记录情形之一的，不得推荐为中标候选人，不得确定为中标人（提供承诺，加盖公章，格式自拟）：</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（1）被人民法院列入失信被执行人名单的；</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（2）被税务机关列入重大税收违法案件当事人名单的；</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（3）被工商行政管理部门（或市场监督管理部门）列入严重违法失信企业名单的。</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（4）律师事务所丧失履约能力的情形；</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（5）被责令停产停业，暂扣或者吊销许可证，暂扣或者吊销执照。</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7、本项目不接受联合体，不允许分包。</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35" w:name="_Toc455587208"/>
      <w:bookmarkStart w:id="36" w:name="_Toc466983865"/>
      <w:bookmarkStart w:id="37" w:name="_Toc144974483"/>
      <w:bookmarkStart w:id="38" w:name="_Toc371415890"/>
      <w:bookmarkStart w:id="39" w:name="_Toc500009058"/>
      <w:bookmarkStart w:id="40" w:name="_Toc445554672"/>
      <w:bookmarkStart w:id="41" w:name="_Toc179632531"/>
      <w:bookmarkStart w:id="42" w:name="_Toc152042291"/>
      <w:bookmarkStart w:id="43" w:name="_Toc500235579"/>
      <w:bookmarkStart w:id="44" w:name="_Toc342297582"/>
      <w:bookmarkStart w:id="45" w:name="_Toc455587024"/>
      <w:bookmarkStart w:id="46" w:name="_Toc342296125"/>
      <w:bookmarkStart w:id="47" w:name="_Toc241459600"/>
      <w:bookmarkStart w:id="48" w:name="_Toc152045515"/>
      <w:r>
        <w:rPr>
          <w:rFonts w:hint="eastAsia" w:ascii="仿宋_GB2312" w:hAnsi="仿宋_GB2312" w:eastAsia="仿宋_GB2312" w:cs="仿宋_GB2312"/>
          <w:b/>
          <w:sz w:val="28"/>
          <w:szCs w:val="28"/>
        </w:rPr>
        <w:t>三、询比采购文件的获取</w:t>
      </w:r>
      <w:bookmarkEnd w:id="35"/>
      <w:bookmarkEnd w:id="36"/>
      <w:bookmarkEnd w:id="37"/>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rPr>
      </w:pPr>
      <w:bookmarkStart w:id="49" w:name="_Toc241459601"/>
      <w:bookmarkStart w:id="50" w:name="_Toc342296126"/>
      <w:bookmarkStart w:id="51" w:name="_Toc455587025"/>
      <w:bookmarkStart w:id="52" w:name="_Toc144974484"/>
      <w:bookmarkStart w:id="53" w:name="_Toc179632532"/>
      <w:bookmarkStart w:id="54" w:name="_Toc455587209"/>
      <w:bookmarkStart w:id="55" w:name="_Toc371415891"/>
      <w:bookmarkStart w:id="56" w:name="_Toc500235580"/>
      <w:bookmarkStart w:id="57" w:name="_Toc152042292"/>
      <w:bookmarkStart w:id="58" w:name="_Toc342297583"/>
      <w:bookmarkStart w:id="59" w:name="_Toc500009059"/>
      <w:bookmarkStart w:id="60" w:name="_Toc152045516"/>
      <w:bookmarkStart w:id="61" w:name="_Toc466983866"/>
      <w:bookmarkStart w:id="62" w:name="_Toc445554673"/>
      <w:r>
        <w:rPr>
          <w:rFonts w:hint="eastAsia" w:ascii="仿宋_GB2312" w:hAnsi="仿宋_GB2312" w:eastAsia="仿宋_GB2312" w:cs="仿宋_GB2312"/>
          <w:sz w:val="28"/>
          <w:szCs w:val="28"/>
          <w:highlight w:val="none"/>
        </w:rPr>
        <w:t>1、获取时间：从202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分到202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分（北京时间，下同）。</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2、获取方式：本次采购公告在安徽文化旅游投资集团有限责任公司官方网站（http://www.ahwltzjt.com）上发布，投标人可在文旅集团官网自行下载采购文件</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四、响应文件的递交</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1、响应文件递交的截止时间（响应截止时间，下同）为202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分，供应商应在响应截止时间</w:t>
      </w:r>
      <w:r>
        <w:rPr>
          <w:rFonts w:hint="eastAsia" w:ascii="仿宋_GB2312" w:hAnsi="仿宋_GB2312" w:eastAsia="仿宋_GB2312" w:cs="仿宋_GB2312"/>
          <w:sz w:val="28"/>
          <w:szCs w:val="28"/>
        </w:rPr>
        <w:t>前将纸质响应文件邮寄或当面送达至黄山屏水文化旅游有限公司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安徽省黄山市黟县宏村镇秀里农庄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widowControl w:val="0"/>
        <w:tabs>
          <w:tab w:val="left" w:pos="360"/>
        </w:tabs>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2、逾期送达的、未送达指定地点的或者不按照询比采购文件要求密封的纸质响应文件，采购人将予以拒收。</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63" w:name="_Toc144974485"/>
      <w:bookmarkStart w:id="64" w:name="_Toc152042293"/>
      <w:bookmarkStart w:id="65" w:name="_Toc500009061"/>
      <w:bookmarkStart w:id="66" w:name="_Toc455587210"/>
      <w:bookmarkStart w:id="67" w:name="_Toc371415893"/>
      <w:bookmarkStart w:id="68" w:name="_Toc466983867"/>
      <w:bookmarkStart w:id="69" w:name="_Toc241459603"/>
      <w:bookmarkStart w:id="70" w:name="_Toc342296128"/>
      <w:bookmarkStart w:id="71" w:name="_Toc445554674"/>
      <w:bookmarkStart w:id="72" w:name="_Toc500235582"/>
      <w:bookmarkStart w:id="73" w:name="_Toc179632534"/>
      <w:bookmarkStart w:id="74" w:name="_Toc152045517"/>
      <w:bookmarkStart w:id="75" w:name="_Toc342297585"/>
      <w:bookmarkStart w:id="76" w:name="_Toc455587026"/>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、评标实施及要求</w:t>
      </w:r>
      <w:bookmarkStart w:id="100" w:name="_GoBack"/>
      <w:bookmarkEnd w:id="100"/>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1、评标时间：202</w:t>
      </w:r>
      <w:r>
        <w:rPr>
          <w:rFonts w:hint="eastAsia" w:ascii="仿宋_GB2312" w:hAnsi="仿宋_GB2312" w:eastAsia="仿宋_GB2312" w:cs="仿宋_GB2312"/>
          <w:sz w:val="28"/>
          <w:szCs w:val="28"/>
          <w:highlight w:val="none"/>
          <w:lang w:val="en-US" w:eastAsia="zh-CN"/>
        </w:rPr>
        <w:t>3年2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00分</w:t>
      </w:r>
      <w:r>
        <w:rPr>
          <w:rFonts w:hint="eastAsia" w:ascii="仿宋_GB2312" w:hAnsi="仿宋_GB2312" w:eastAsia="仿宋_GB2312" w:cs="仿宋_GB2312"/>
          <w:sz w:val="28"/>
          <w:szCs w:val="28"/>
          <w:highlight w:val="none"/>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2、评标地点：黄山屏水文化旅游有限公司</w:t>
      </w:r>
      <w:r>
        <w:rPr>
          <w:rFonts w:hint="eastAsia" w:ascii="仿宋_GB2312" w:hAnsi="仿宋_GB2312" w:eastAsia="仿宋_GB2312" w:cs="仿宋_GB2312"/>
          <w:sz w:val="28"/>
          <w:szCs w:val="28"/>
          <w:highlight w:val="none"/>
          <w:lang w:val="en-US" w:eastAsia="zh-CN"/>
        </w:rPr>
        <w:t>会议室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安徽省黄山市黟</w:t>
      </w:r>
      <w:r>
        <w:rPr>
          <w:rFonts w:hint="eastAsia" w:ascii="仿宋_GB2312" w:hAnsi="仿宋_GB2312" w:eastAsia="仿宋_GB2312" w:cs="仿宋_GB2312"/>
          <w:sz w:val="28"/>
          <w:szCs w:val="28"/>
          <w:lang w:val="en-US" w:eastAsia="zh-CN"/>
        </w:rPr>
        <w:t>县宏村镇秀里农庄</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rPr>
        <w:t>3.评标工作由黄山屏水文化旅游有限公司组织实施，评标委员会由黄山屏水公司3人及以上单数商务和技术人员组成，评标时投标人可以参加开标也可以不参加开标，不参加开标视同认可开标结果，参加开标的人员应为投标文件中确定的投标人授权代表。若有效投标家数</w:t>
      </w:r>
      <w:r>
        <w:rPr>
          <w:rFonts w:hint="eastAsia" w:ascii="仿宋_GB2312" w:hAnsi="仿宋_GB2312" w:eastAsia="仿宋_GB2312" w:cs="仿宋_GB2312"/>
          <w:sz w:val="28"/>
          <w:szCs w:val="28"/>
          <w:lang w:eastAsia="zh-CN"/>
        </w:rPr>
        <w:t>（投标响应家数或者经资格审查、符合性审查和详细评审，</w:t>
      </w:r>
      <w:r>
        <w:rPr>
          <w:rFonts w:hint="eastAsia" w:ascii="仿宋_GB2312" w:hAnsi="仿宋_GB2312" w:eastAsia="仿宋_GB2312" w:cs="仿宋_GB2312"/>
          <w:sz w:val="28"/>
          <w:szCs w:val="28"/>
          <w:lang w:val="en-US" w:eastAsia="zh-CN"/>
        </w:rPr>
        <w:t>下同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不足3家，</w:t>
      </w:r>
      <w:r>
        <w:rPr>
          <w:rFonts w:hint="eastAsia" w:ascii="仿宋_GB2312" w:hAnsi="仿宋_GB2312" w:eastAsia="仿宋_GB2312" w:cs="仿宋_GB2312"/>
          <w:sz w:val="28"/>
          <w:szCs w:val="28"/>
        </w:rPr>
        <w:t>达到2 家，</w:t>
      </w:r>
      <w:r>
        <w:rPr>
          <w:rFonts w:hint="eastAsia" w:ascii="仿宋_GB2312" w:hAnsi="仿宋_GB2312" w:eastAsia="仿宋_GB2312" w:cs="仿宋_GB2312"/>
          <w:spacing w:val="-6"/>
          <w:sz w:val="28"/>
          <w:szCs w:val="28"/>
        </w:rPr>
        <w:t>现场转磋商（可线上）。若有效投标家数不足2家，本项目流标，重新采购</w:t>
      </w:r>
      <w:r>
        <w:rPr>
          <w:rFonts w:hint="eastAsia" w:ascii="仿宋_GB2312" w:hAnsi="仿宋_GB2312" w:eastAsia="仿宋_GB2312" w:cs="仿宋_GB2312"/>
          <w:spacing w:val="-6"/>
          <w:sz w:val="28"/>
          <w:szCs w:val="28"/>
          <w:lang w:eastAsia="zh-CN"/>
        </w:rPr>
        <w:t>。</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、联系方式</w:t>
      </w:r>
      <w:bookmarkEnd w:id="63"/>
      <w:bookmarkEnd w:id="64"/>
      <w:bookmarkEnd w:id="65"/>
      <w:bookmarkEnd w:id="66"/>
      <w:bookmarkEnd w:id="67"/>
      <w:bookmarkEnd w:id="68"/>
      <w:bookmarkEnd w:id="69"/>
      <w:bookmarkEnd w:id="70"/>
      <w:bookmarkEnd w:id="71"/>
      <w:bookmarkEnd w:id="72"/>
      <w:bookmarkEnd w:id="73"/>
      <w:bookmarkEnd w:id="74"/>
      <w:bookmarkEnd w:id="75"/>
      <w:bookmarkEnd w:id="76"/>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名称：黄山屏水文化旅游有限公司</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val="en-US" w:eastAsia="zh-CN"/>
        </w:rPr>
        <w:t>安徽省黄山市黟县宏村镇秀里农庄</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刘羽飞</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18225596962</w:t>
      </w:r>
    </w:p>
    <w:bookmarkEnd w:id="6"/>
    <w:p>
      <w:pPr>
        <w:keepNext w:val="0"/>
        <w:keepLines w:val="0"/>
        <w:pageBreakBefore w:val="0"/>
        <w:widowControl w:val="0"/>
        <w:kinsoku/>
        <w:overflowPunct/>
        <w:topLinePunct/>
        <w:autoSpaceDE/>
        <w:autoSpaceDN/>
        <w:bidi w:val="0"/>
        <w:spacing w:line="360" w:lineRule="auto"/>
        <w:jc w:val="center"/>
        <w:textAlignment w:val="auto"/>
        <w:outlineLvl w:val="0"/>
        <w:rPr>
          <w:rFonts w:hint="eastAsia"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rPr>
        <w:br w:type="page"/>
      </w:r>
      <w:bookmarkStart w:id="77" w:name="_Toc8002"/>
      <w:bookmarkStart w:id="78" w:name="_Toc22167"/>
      <w:r>
        <w:rPr>
          <w:rFonts w:hint="eastAsia" w:ascii="方正小标宋简体" w:hAnsi="方正小标宋简体" w:eastAsia="方正小标宋简体" w:cs="方正小标宋简体"/>
          <w:b w:val="0"/>
          <w:bCs w:val="0"/>
          <w:kern w:val="44"/>
          <w:sz w:val="40"/>
          <w:szCs w:val="40"/>
        </w:rPr>
        <w:t>第二章 供应商须知</w:t>
      </w:r>
      <w:bookmarkEnd w:id="77"/>
      <w:bookmarkEnd w:id="78"/>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1、所报价格为黄山中国书画小镇景观和市政基础设施工程项目合同纠纷</w:t>
      </w:r>
      <w:r>
        <w:rPr>
          <w:rFonts w:hint="eastAsia" w:ascii="仿宋_GB2312" w:hAnsi="仿宋_GB2312" w:eastAsia="仿宋_GB2312" w:cs="仿宋_GB2312"/>
          <w:sz w:val="28"/>
          <w:szCs w:val="28"/>
          <w:lang w:val="en-US" w:eastAsia="zh-CN"/>
        </w:rPr>
        <w:t>案件二</w:t>
      </w:r>
      <w:r>
        <w:rPr>
          <w:rFonts w:hint="eastAsia" w:ascii="仿宋_GB2312" w:hAnsi="仿宋_GB2312" w:eastAsia="仿宋_GB2312" w:cs="仿宋_GB2312"/>
          <w:sz w:val="28"/>
          <w:szCs w:val="28"/>
        </w:rPr>
        <w:t>审</w:t>
      </w:r>
      <w:r>
        <w:rPr>
          <w:rFonts w:hint="eastAsia" w:ascii="仿宋_GB2312" w:hAnsi="仿宋_GB2312" w:eastAsia="仿宋_GB2312" w:cs="仿宋_GB2312"/>
          <w:sz w:val="28"/>
          <w:szCs w:val="28"/>
          <w:lang w:val="en-US" w:eastAsia="zh-CN"/>
        </w:rPr>
        <w:t>程序基本代理费和风险代理费</w:t>
      </w:r>
      <w:r>
        <w:rPr>
          <w:rFonts w:hint="eastAsia" w:ascii="仿宋_GB2312" w:hAnsi="仿宋_GB2312" w:eastAsia="仿宋_GB2312" w:cs="仿宋_GB2312"/>
          <w:sz w:val="28"/>
          <w:szCs w:val="28"/>
        </w:rPr>
        <w:t>（含税）。供应商报价超过项目控制价的，按无效投标处理。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2、投标供应商未按本询比文件规定所投标书无效。无论中标与否，各参比单位投标资料概不退回，由我司存档，我司将对参比单位资料予以保密。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供应商应认真阅读采购文件中所有事项格式、条款和技术规范等。投标供应商没有按照采购文件要求提交全部资料，或者没有对采购文件各个方面做出实质性响应，导致投标被拒绝的风险由投标供应商自行承担。投标供应商应保证所提供文件资料的真实性，所有文件资料必须是针对本次投标的。如发现投标供应商提供了虚假文件资料，其投标将被拒绝，并自行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4、全部响应文件应制作目录，胶装成册，一式贰份，响应文件应由参比单位的法定代表人或授权代理人正式签署。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文件的修改与撤销：（1）在规定的投标截止时间前，投标人可以修改或撤回已递交的投标文件；（2）在规定的投标截止时间前，投标人可以自行撤回已递交的投标文件，并可修改后重新递交，开标时以投标截止时间前投标人最终递交的投标文件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、参与投标活动的各方应对招标文件中的商业和技术等秘密保密，否则应承担相应的法律责任。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、所有响应文件必须装入密封的信封或包装，在信封或包装上骑缝加盖公章，并填写响应文件资料清单。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响应文件信封的封面上写明：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(1)询比项目名称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(2)参比单位名称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(3)日期</w:t>
      </w:r>
    </w:p>
    <w:p>
      <w:pPr>
        <w:widowControl/>
        <w:spacing w:line="360" w:lineRule="auto"/>
        <w:jc w:val="center"/>
        <w:outlineLvl w:val="0"/>
        <w:rPr>
          <w:rStyle w:val="32"/>
          <w:rFonts w:hint="eastAsia" w:ascii="仿宋_GB2312" w:hAnsi="仿宋_GB2312" w:eastAsia="仿宋_GB2312" w:cs="仿宋_GB2312"/>
          <w:sz w:val="28"/>
          <w:szCs w:val="28"/>
        </w:rPr>
      </w:pPr>
      <w:bookmarkStart w:id="79" w:name="_Toc69908255"/>
      <w:bookmarkStart w:id="80" w:name="_Toc19038"/>
      <w:bookmarkStart w:id="81" w:name="_Toc3371"/>
      <w:bookmarkStart w:id="82" w:name="_Toc5586"/>
      <w:r>
        <w:rPr>
          <w:rStyle w:val="32"/>
          <w:rFonts w:hint="eastAsia" w:ascii="方正小标宋简体" w:hAnsi="方正小标宋简体" w:eastAsia="方正小标宋简体" w:cs="方正小标宋简体"/>
          <w:b w:val="0"/>
          <w:bCs w:val="0"/>
          <w:sz w:val="40"/>
          <w:szCs w:val="40"/>
        </w:rPr>
        <w:t>第三章  评标办法</w:t>
      </w:r>
      <w:bookmarkEnd w:id="79"/>
      <w:bookmarkEnd w:id="80"/>
    </w:p>
    <w:bookmarkEnd w:id="81"/>
    <w:bookmarkEnd w:id="82"/>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一、总则</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（一）为了做好本项目的评标工作，保证项目评审工作的正常有序进行，维护招采购人、投标人的合法权益，本着公开、公平、公正的原则，制定评标办法。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（二）本次项目评标采用综合评分法作为对投标人标书的比较方法。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（三）评标委员会依据招标文件中的标准、办法对投标文件进行评标，评标委员会推荐1名中标候选人。</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bookmarkStart w:id="83" w:name="_Toc416273782"/>
      <w:bookmarkStart w:id="84" w:name="_Toc338069027"/>
      <w:r>
        <w:rPr>
          <w:rFonts w:hint="eastAsia" w:ascii="仿宋_GB2312" w:hAnsi="仿宋_GB2312" w:eastAsia="仿宋_GB2312" w:cs="仿宋_GB2312"/>
          <w:b/>
          <w:bCs/>
          <w:sz w:val="28"/>
          <w:szCs w:val="28"/>
        </w:rPr>
        <w:t>二、</w:t>
      </w:r>
      <w:bookmarkEnd w:id="83"/>
      <w:bookmarkEnd w:id="84"/>
      <w:r>
        <w:rPr>
          <w:rFonts w:hint="eastAsia" w:ascii="仿宋_GB2312" w:hAnsi="仿宋_GB2312" w:eastAsia="仿宋_GB2312" w:cs="仿宋_GB2312"/>
          <w:b/>
          <w:bCs/>
          <w:sz w:val="28"/>
          <w:szCs w:val="28"/>
        </w:rPr>
        <w:t>评标标准及说明</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评标委员会分别对投标人的投标文件进行资格审查、符合性审查和详细评审，资格审查与符合性审查不通过的不再进入下一环节“详细评审”。</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三、评标程序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（二）评委独立评审后，评委会对投标人某项指标如有不同意见，按照少数服从多数的原则，确定该项指标是否通过。符合初审指标通过标准的，为有效投标。评委会按下表内容进行投标文件初审。</w:t>
      </w:r>
    </w:p>
    <w:p>
      <w:pPr>
        <w:keepNext w:val="0"/>
        <w:keepLines w:val="0"/>
        <w:pageBreakBefore w:val="0"/>
        <w:widowControl w:val="0"/>
        <w:kinsoku/>
        <w:wordWrap/>
        <w:overflowPunct/>
        <w:topLinePunct w:val="0"/>
        <w:autoSpaceDE/>
        <w:autoSpaceDN/>
        <w:bidi w:val="0"/>
        <w:adjustRightInd w:val="0"/>
        <w:snapToGrid w:val="0"/>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投标文件初审表（资格审查和符合性审查）</w:t>
      </w:r>
    </w:p>
    <w:tbl>
      <w:tblPr>
        <w:tblStyle w:val="23"/>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078"/>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6" w:type="dxa"/>
            <w:gridSpan w:val="3"/>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 xml:space="preserve">1、资格审查指标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序号</w:t>
            </w:r>
          </w:p>
        </w:tc>
        <w:tc>
          <w:tcPr>
            <w:tcW w:w="5078" w:type="dxa"/>
            <w:vAlign w:val="center"/>
          </w:tcPr>
          <w:p>
            <w:pPr>
              <w:keepNext w:val="0"/>
              <w:keepLines w:val="0"/>
              <w:pageBreakBefore w:val="0"/>
              <w:kinsoku/>
              <w:wordWrap/>
              <w:overflowPunct/>
              <w:topLinePunct w:val="0"/>
              <w:autoSpaceDE/>
              <w:autoSpaceDN/>
              <w:bidi w:val="0"/>
              <w:adjustRightInd/>
              <w:snapToGrid/>
              <w:spacing w:line="460" w:lineRule="exact"/>
              <w:ind w:firstLine="499"/>
              <w:jc w:val="center"/>
              <w:textAlignment w:val="auto"/>
              <w:rPr>
                <w:rFonts w:hint="eastAsia" w:ascii="黑体" w:hAnsi="黑体" w:eastAsia="黑体" w:cs="黑体"/>
                <w:bCs/>
                <w:sz w:val="24"/>
                <w:szCs w:val="24"/>
              </w:rPr>
            </w:pPr>
            <w:r>
              <w:rPr>
                <w:rFonts w:hint="eastAsia" w:ascii="黑体" w:hAnsi="黑体" w:eastAsia="黑体" w:cs="黑体"/>
                <w:bCs/>
                <w:sz w:val="24"/>
                <w:szCs w:val="24"/>
              </w:rPr>
              <w:t>审查内容</w:t>
            </w:r>
          </w:p>
        </w:tc>
        <w:tc>
          <w:tcPr>
            <w:tcW w:w="366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5078" w:type="dxa"/>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投标人为在中华人民共和国境内注册独立法人，具备有效的律师事务所执业许可证。</w:t>
            </w:r>
          </w:p>
        </w:tc>
        <w:tc>
          <w:tcPr>
            <w:tcW w:w="3669" w:type="dxa"/>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提供原件扫描件或复印件并加盖公章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安徽出版集团外聘法律顾问事务所备选库成员单位（2020-2023）。</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3</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未受过司法行政机关的行政处罚或律师协会的行业处分。</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提供相应证明材料或提供承诺，承诺书加盖公章，格式自拟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4</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与案件利益人存在代理或其他业务关系的不得参加本项目。</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提供承诺，加盖公章，格式自拟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5</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拟派律师团队不得少于3人，从业年限</w:t>
            </w:r>
            <w:r>
              <w:rPr>
                <w:rFonts w:hint="eastAsia" w:ascii="黑体" w:hAnsi="黑体" w:eastAsia="黑体" w:cs="黑体"/>
                <w:sz w:val="24"/>
                <w:szCs w:val="24"/>
                <w:lang w:eastAsia="zh-CN"/>
              </w:rPr>
              <w:t>均</w:t>
            </w:r>
            <w:r>
              <w:rPr>
                <w:rFonts w:hint="eastAsia" w:ascii="黑体" w:hAnsi="黑体" w:eastAsia="黑体" w:cs="黑体"/>
                <w:sz w:val="24"/>
                <w:szCs w:val="24"/>
              </w:rPr>
              <w:t>至少在6年以上（包括助理），均应具有有效期内的律师执业资格证书；拟派律师团队中须不少于2人具有建筑房地产专业执业证书。</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提供团队人员名单及证书复印件并加盖公章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6</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投标人（不含分所）存在以下不良信用记录情形之一的，不得推荐为中标候选人，不得确定为中标人：（1）被人民法院列入失信被执行人名单的；（2）被税务机关列入重大税收违法案件当事人名单的；（3）被工商行政管理部门（或市场监督管理部门）列入严重违法失信企业名单的。（4）律师事务所丧失履约能力的情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lang w:eastAsia="zh-CN"/>
              </w:rPr>
            </w:pPr>
            <w:r>
              <w:rPr>
                <w:rFonts w:hint="eastAsia" w:ascii="黑体" w:hAnsi="黑体" w:eastAsia="黑体" w:cs="黑体"/>
                <w:sz w:val="24"/>
                <w:szCs w:val="24"/>
              </w:rPr>
              <w:t>（5）被责令停产停业，暂扣或者吊销许可证，暂扣或者吊销执照</w:t>
            </w:r>
            <w:r>
              <w:rPr>
                <w:rFonts w:hint="eastAsia" w:ascii="黑体" w:hAnsi="黑体" w:eastAsia="黑体" w:cs="黑体"/>
                <w:sz w:val="24"/>
                <w:szCs w:val="24"/>
                <w:lang w:eastAsia="zh-CN"/>
              </w:rPr>
              <w:t>。</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提供承诺，加盖公章，格式自拟</w:t>
            </w:r>
          </w:p>
        </w:tc>
      </w:tr>
    </w:tbl>
    <w:p>
      <w:pPr>
        <w:rPr>
          <w:rFonts w:hint="eastAsia" w:ascii="黑体" w:hAnsi="黑体" w:eastAsia="黑体" w:cs="黑体"/>
        </w:rPr>
      </w:pP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940"/>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序号</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指标描述</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授权委托书</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投标人名称</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与律师事务所执业许可一致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3</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投标函签字盖章</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格式、填写要求符合采购文件规定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4</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投标文件格式</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5</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投标报价</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只能有一个有效报价，不可为范围值或区间值。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6</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其    他</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采购公告或采购文件列明的其他要求。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660" w:type="dxa"/>
            <w:gridSpan w:val="3"/>
            <w:vAlign w:val="center"/>
          </w:tcPr>
          <w:p>
            <w:pPr>
              <w:keepNext w:val="0"/>
              <w:keepLines w:val="0"/>
              <w:pageBreakBefore w:val="0"/>
              <w:widowControl w:val="0"/>
              <w:tabs>
                <w:tab w:val="center" w:pos="4535"/>
              </w:tabs>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b/>
                <w:sz w:val="24"/>
                <w:szCs w:val="24"/>
              </w:rPr>
              <w:t>初审指标通过标准：投标人必须通过上述资格审查和符合性审查的全部指标。</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napToGrid w:val="0"/>
          <w:sz w:val="28"/>
          <w:szCs w:val="28"/>
        </w:rPr>
        <w:t>3、投标文件的详细评审</w:t>
      </w:r>
      <w:r>
        <w:rPr>
          <w:rFonts w:hint="eastAsia" w:ascii="仿宋_GB2312" w:hAnsi="仿宋_GB2312" w:eastAsia="仿宋_GB2312" w:cs="仿宋_GB2312"/>
          <w:b/>
          <w:sz w:val="28"/>
          <w:szCs w:val="28"/>
        </w:rPr>
        <w:t>(满分100分)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（一）评委会将对所有通过初审的投标文件从报价部分、</w:t>
      </w:r>
      <w:r>
        <w:rPr>
          <w:rFonts w:hint="eastAsia" w:ascii="仿宋_GB2312" w:hAnsi="仿宋_GB2312" w:eastAsia="仿宋_GB2312" w:cs="仿宋_GB2312"/>
          <w:sz w:val="28"/>
          <w:szCs w:val="28"/>
          <w:lang w:eastAsia="zh-CN"/>
        </w:rPr>
        <w:t>商务及</w:t>
      </w:r>
      <w:r>
        <w:rPr>
          <w:rFonts w:hint="eastAsia" w:ascii="仿宋_GB2312" w:hAnsi="仿宋_GB2312" w:eastAsia="仿宋_GB2312" w:cs="仿宋_GB2312"/>
          <w:sz w:val="28"/>
          <w:szCs w:val="28"/>
        </w:rPr>
        <w:t>技术部分等方面进行详细评审，各家投标人的得分为各位评委打分的算术平均值（计算结果保留小数点后两位，第三位四舍五入）。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（二）详细评审指标如下：</w:t>
      </w:r>
    </w:p>
    <w:tbl>
      <w:tblPr>
        <w:tblStyle w:val="23"/>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276"/>
        <w:gridCol w:w="1518"/>
        <w:gridCol w:w="615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8" w:hRule="atLeast"/>
          <w:jc w:val="center"/>
        </w:trPr>
        <w:tc>
          <w:tcPr>
            <w:tcW w:w="1276" w:type="dxa"/>
            <w:vAlign w:val="center"/>
          </w:tcPr>
          <w:p>
            <w:pPr>
              <w:widowControl/>
              <w:jc w:val="center"/>
              <w:textAlignment w:val="center"/>
              <w:rPr>
                <w:rFonts w:hint="eastAsia" w:ascii="黑体" w:hAnsi="黑体" w:eastAsia="黑体" w:cs="黑体"/>
                <w:b/>
                <w:bCs/>
                <w:sz w:val="24"/>
                <w:szCs w:val="24"/>
              </w:rPr>
            </w:pPr>
            <w:r>
              <w:rPr>
                <w:rFonts w:hint="eastAsia" w:ascii="黑体" w:hAnsi="黑体" w:eastAsia="黑体" w:cs="黑体"/>
                <w:b/>
                <w:bCs/>
                <w:sz w:val="24"/>
                <w:szCs w:val="24"/>
              </w:rPr>
              <w:t>评分类别</w:t>
            </w:r>
          </w:p>
        </w:tc>
        <w:tc>
          <w:tcPr>
            <w:tcW w:w="1518"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评分</w:t>
            </w:r>
          </w:p>
          <w:p>
            <w:pPr>
              <w:widowControl/>
              <w:jc w:val="center"/>
              <w:textAlignment w:val="center"/>
              <w:rPr>
                <w:rFonts w:hint="eastAsia" w:ascii="黑体" w:hAnsi="黑体" w:eastAsia="黑体" w:cs="黑体"/>
                <w:b/>
                <w:bCs/>
                <w:sz w:val="24"/>
                <w:szCs w:val="24"/>
              </w:rPr>
            </w:pPr>
            <w:r>
              <w:rPr>
                <w:rFonts w:hint="eastAsia" w:ascii="黑体" w:hAnsi="黑体" w:eastAsia="黑体" w:cs="黑体"/>
                <w:sz w:val="24"/>
                <w:szCs w:val="24"/>
              </w:rPr>
              <w:t>项目</w:t>
            </w:r>
          </w:p>
        </w:tc>
        <w:tc>
          <w:tcPr>
            <w:tcW w:w="6156" w:type="dxa"/>
            <w:vAlign w:val="center"/>
          </w:tcPr>
          <w:p>
            <w:pPr>
              <w:jc w:val="center"/>
              <w:rPr>
                <w:rStyle w:val="60"/>
                <w:rFonts w:hint="eastAsia" w:ascii="黑体" w:hAnsi="黑体" w:eastAsia="黑体" w:cs="黑体"/>
                <w:sz w:val="24"/>
                <w:szCs w:val="24"/>
              </w:rPr>
            </w:pPr>
            <w:r>
              <w:rPr>
                <w:rFonts w:hint="eastAsia" w:ascii="黑体" w:hAnsi="黑体" w:eastAsia="黑体" w:cs="黑体"/>
                <w:b/>
                <w:bCs/>
                <w:sz w:val="24"/>
                <w:szCs w:val="24"/>
              </w:rPr>
              <w:t>评分依据</w:t>
            </w:r>
          </w:p>
        </w:tc>
        <w:tc>
          <w:tcPr>
            <w:tcW w:w="1203" w:type="dxa"/>
            <w:vAlign w:val="center"/>
          </w:tcPr>
          <w:p>
            <w:pPr>
              <w:jc w:val="center"/>
              <w:rPr>
                <w:rFonts w:hint="eastAsia" w:ascii="黑体" w:hAnsi="黑体" w:eastAsia="黑体" w:cs="黑体"/>
                <w:sz w:val="24"/>
                <w:szCs w:val="24"/>
              </w:rPr>
            </w:pPr>
            <w:r>
              <w:rPr>
                <w:rFonts w:hint="eastAsia" w:ascii="黑体" w:hAnsi="黑体" w:eastAsia="黑体" w:cs="黑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27" w:hRule="atLeast"/>
          <w:jc w:val="center"/>
        </w:trPr>
        <w:tc>
          <w:tcPr>
            <w:tcW w:w="1276" w:type="dxa"/>
            <w:vMerge w:val="restart"/>
            <w:vAlign w:val="center"/>
          </w:tcPr>
          <w:p>
            <w:pPr>
              <w:spacing w:line="400" w:lineRule="exact"/>
              <w:jc w:val="center"/>
              <w:rPr>
                <w:rFonts w:hint="eastAsia" w:ascii="黑体" w:hAnsi="黑体" w:eastAsia="黑体" w:cs="黑体"/>
                <w:sz w:val="22"/>
              </w:rPr>
            </w:pPr>
            <w:r>
              <w:rPr>
                <w:rFonts w:hint="eastAsia" w:ascii="黑体" w:hAnsi="黑体" w:eastAsia="黑体" w:cs="黑体"/>
                <w:sz w:val="22"/>
              </w:rPr>
              <w:t>报价</w:t>
            </w:r>
          </w:p>
          <w:p>
            <w:pPr>
              <w:spacing w:line="400" w:lineRule="exact"/>
              <w:jc w:val="center"/>
              <w:rPr>
                <w:rFonts w:hint="eastAsia" w:ascii="黑体" w:hAnsi="黑体" w:eastAsia="黑体" w:cs="黑体"/>
                <w:sz w:val="24"/>
                <w:szCs w:val="24"/>
              </w:rPr>
            </w:pPr>
            <w:r>
              <w:rPr>
                <w:rFonts w:hint="eastAsia" w:ascii="黑体" w:hAnsi="黑体" w:eastAsia="黑体" w:cs="黑体"/>
                <w:sz w:val="22"/>
              </w:rPr>
              <w:t>（</w:t>
            </w:r>
            <w:r>
              <w:rPr>
                <w:rFonts w:hint="eastAsia" w:ascii="黑体" w:hAnsi="黑体" w:eastAsia="黑体" w:cs="黑体"/>
                <w:sz w:val="22"/>
                <w:lang w:val="en-US" w:eastAsia="zh-CN"/>
              </w:rPr>
              <w:t>35</w:t>
            </w:r>
            <w:r>
              <w:rPr>
                <w:rFonts w:hint="eastAsia" w:ascii="黑体" w:hAnsi="黑体" w:eastAsia="黑体" w:cs="黑体"/>
                <w:sz w:val="22"/>
              </w:rPr>
              <w:t>分）</w:t>
            </w:r>
          </w:p>
        </w:tc>
        <w:tc>
          <w:tcPr>
            <w:tcW w:w="1518" w:type="dxa"/>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基本代理费</w:t>
            </w:r>
            <w:r>
              <w:rPr>
                <w:rFonts w:hint="eastAsia" w:ascii="黑体" w:hAnsi="黑体" w:eastAsia="黑体" w:cs="黑体"/>
                <w:sz w:val="24"/>
                <w:szCs w:val="24"/>
              </w:rPr>
              <w:t>报价（</w:t>
            </w:r>
            <w:r>
              <w:rPr>
                <w:rFonts w:hint="eastAsia" w:ascii="黑体" w:hAnsi="黑体" w:eastAsia="黑体" w:cs="黑体"/>
                <w:sz w:val="24"/>
                <w:szCs w:val="24"/>
                <w:lang w:val="en-US" w:eastAsia="zh-CN"/>
              </w:rPr>
              <w:t>10</w:t>
            </w:r>
            <w:r>
              <w:rPr>
                <w:rFonts w:hint="eastAsia" w:ascii="黑体" w:hAnsi="黑体" w:eastAsia="黑体" w:cs="黑体"/>
                <w:sz w:val="24"/>
                <w:szCs w:val="24"/>
              </w:rPr>
              <w:t>分）</w:t>
            </w:r>
          </w:p>
        </w:tc>
        <w:tc>
          <w:tcPr>
            <w:tcW w:w="6156" w:type="dxa"/>
            <w:vAlign w:val="center"/>
          </w:tcPr>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（1）评标基准价的确定：</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评标基准价=有效最低价。</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（2）评标价的偏差率计算公式：</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偏差率=100%×（投标人的评标价-评标基准价）/评标基准价</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（3）报价得分计算公式：</w:t>
            </w:r>
          </w:p>
          <w:p>
            <w:pPr>
              <w:widowControl/>
              <w:jc w:val="left"/>
              <w:textAlignment w:val="center"/>
              <w:rPr>
                <w:rStyle w:val="60"/>
                <w:rFonts w:hint="eastAsia" w:ascii="黑体" w:hAnsi="黑体" w:eastAsia="黑体" w:cs="黑体"/>
                <w:sz w:val="24"/>
                <w:szCs w:val="24"/>
                <w:highlight w:val="yellow"/>
                <w:shd w:val="clear" w:color="auto" w:fill="auto"/>
              </w:rPr>
            </w:pPr>
            <w:r>
              <w:rPr>
                <w:rFonts w:hint="eastAsia" w:ascii="黑体" w:hAnsi="黑体" w:eastAsia="黑体" w:cs="黑体"/>
                <w:sz w:val="24"/>
                <w:szCs w:val="24"/>
                <w:highlight w:val="none"/>
              </w:rPr>
              <w:t>投标人的投标价每高出评标基准价1个百分点，扣0.</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分，得分扣完为止。报价得分=</w:t>
            </w:r>
            <w:r>
              <w:rPr>
                <w:rFonts w:hint="eastAsia" w:ascii="黑体" w:hAnsi="黑体" w:eastAsia="黑体" w:cs="黑体"/>
                <w:sz w:val="24"/>
                <w:szCs w:val="24"/>
                <w:highlight w:val="none"/>
                <w:lang w:val="en-US" w:eastAsia="zh-CN"/>
              </w:rPr>
              <w:t>10</w:t>
            </w:r>
            <w:r>
              <w:rPr>
                <w:rFonts w:hint="eastAsia" w:ascii="黑体" w:hAnsi="黑体" w:eastAsia="黑体" w:cs="黑体"/>
                <w:sz w:val="24"/>
                <w:szCs w:val="24"/>
                <w:highlight w:val="none"/>
              </w:rPr>
              <w:t>-偏差率×100×0.</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，得分保留两位小数。</w:t>
            </w:r>
          </w:p>
        </w:tc>
        <w:tc>
          <w:tcPr>
            <w:tcW w:w="1203" w:type="dxa"/>
            <w:vAlign w:val="center"/>
          </w:tcPr>
          <w:p>
            <w:pPr>
              <w:jc w:val="center"/>
              <w:rPr>
                <w:rFonts w:hint="eastAsia" w:ascii="黑体" w:hAnsi="黑体" w:eastAsia="黑体" w:cs="黑体"/>
                <w:sz w:val="24"/>
                <w:szCs w:val="24"/>
              </w:rPr>
            </w:pPr>
            <w:r>
              <w:rPr>
                <w:rFonts w:hint="eastAsia" w:ascii="黑体" w:hAnsi="黑体" w:eastAsia="黑体" w:cs="黑体"/>
                <w:sz w:val="22"/>
                <w:lang w:val="en-US" w:eastAsia="zh-CN"/>
              </w:rPr>
              <w:t>0-10</w:t>
            </w:r>
            <w:r>
              <w:rPr>
                <w:rFonts w:hint="eastAsia" w:ascii="黑体" w:hAnsi="黑体" w:eastAsia="黑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1276" w:type="dxa"/>
            <w:vMerge w:val="continue"/>
            <w:vAlign w:val="center"/>
          </w:tcPr>
          <w:p>
            <w:pPr>
              <w:spacing w:line="400" w:lineRule="exact"/>
              <w:jc w:val="center"/>
              <w:rPr>
                <w:rFonts w:hint="eastAsia" w:ascii="黑体" w:hAnsi="黑体" w:eastAsia="黑体" w:cs="黑体"/>
                <w:sz w:val="22"/>
              </w:rPr>
            </w:pPr>
          </w:p>
        </w:tc>
        <w:tc>
          <w:tcPr>
            <w:tcW w:w="151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lang w:val="en-US" w:eastAsia="zh-CN"/>
              </w:rPr>
              <w:t>风险代理费</w:t>
            </w:r>
            <w:r>
              <w:rPr>
                <w:rFonts w:hint="eastAsia" w:ascii="黑体" w:hAnsi="黑体" w:eastAsia="黑体" w:cs="黑体"/>
                <w:sz w:val="24"/>
                <w:szCs w:val="24"/>
              </w:rPr>
              <w:t>报价（</w:t>
            </w:r>
            <w:r>
              <w:rPr>
                <w:rFonts w:hint="eastAsia" w:ascii="黑体" w:hAnsi="黑体" w:eastAsia="黑体" w:cs="黑体"/>
                <w:sz w:val="24"/>
                <w:szCs w:val="24"/>
                <w:lang w:val="en-US" w:eastAsia="zh-CN"/>
              </w:rPr>
              <w:t>25</w:t>
            </w:r>
            <w:r>
              <w:rPr>
                <w:rFonts w:hint="eastAsia" w:ascii="黑体" w:hAnsi="黑体" w:eastAsia="黑体" w:cs="黑体"/>
                <w:sz w:val="24"/>
                <w:szCs w:val="24"/>
              </w:rPr>
              <w:t>分）</w:t>
            </w:r>
          </w:p>
        </w:tc>
        <w:tc>
          <w:tcPr>
            <w:tcW w:w="6156" w:type="dxa"/>
            <w:vAlign w:val="center"/>
          </w:tcPr>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投标报价较控制价每降低</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个百分点，得</w:t>
            </w:r>
            <w:r>
              <w:rPr>
                <w:rFonts w:hint="eastAsia" w:ascii="黑体" w:hAnsi="黑体" w:eastAsia="黑体" w:cs="黑体"/>
                <w:sz w:val="24"/>
                <w:szCs w:val="24"/>
                <w:highlight w:val="none"/>
                <w:lang w:val="en-US" w:eastAsia="zh-CN"/>
              </w:rPr>
              <w:t>5</w:t>
            </w:r>
            <w:r>
              <w:rPr>
                <w:rFonts w:hint="eastAsia" w:ascii="黑体" w:hAnsi="黑体" w:eastAsia="黑体" w:cs="黑体"/>
                <w:sz w:val="24"/>
                <w:szCs w:val="24"/>
                <w:highlight w:val="none"/>
              </w:rPr>
              <w:t>分，满分</w:t>
            </w:r>
            <w:r>
              <w:rPr>
                <w:rFonts w:hint="eastAsia" w:ascii="黑体" w:hAnsi="黑体" w:eastAsia="黑体" w:cs="黑体"/>
                <w:sz w:val="24"/>
                <w:szCs w:val="24"/>
                <w:highlight w:val="none"/>
                <w:lang w:val="en-US" w:eastAsia="zh-CN"/>
              </w:rPr>
              <w:t>25</w:t>
            </w:r>
            <w:r>
              <w:rPr>
                <w:rFonts w:hint="eastAsia" w:ascii="黑体" w:hAnsi="黑体" w:eastAsia="黑体" w:cs="黑体"/>
                <w:sz w:val="24"/>
                <w:szCs w:val="24"/>
                <w:highlight w:val="none"/>
              </w:rPr>
              <w:t>分。例：投标报价为</w:t>
            </w:r>
            <w:r>
              <w:rPr>
                <w:rFonts w:hint="eastAsia" w:ascii="黑体" w:hAnsi="黑体" w:eastAsia="黑体" w:cs="黑体"/>
                <w:sz w:val="24"/>
                <w:szCs w:val="24"/>
                <w:highlight w:val="none"/>
                <w:lang w:val="en-US" w:eastAsia="zh-CN"/>
              </w:rPr>
              <w:t>6</w:t>
            </w:r>
            <w:r>
              <w:rPr>
                <w:rFonts w:hint="eastAsia" w:ascii="黑体" w:hAnsi="黑体" w:eastAsia="黑体" w:cs="黑体"/>
                <w:sz w:val="24"/>
                <w:szCs w:val="24"/>
                <w:highlight w:val="none"/>
              </w:rPr>
              <w:t>%，则得分为</w:t>
            </w:r>
            <w:r>
              <w:rPr>
                <w:rFonts w:hint="eastAsia" w:ascii="黑体" w:hAnsi="黑体" w:eastAsia="黑体" w:cs="黑体"/>
                <w:sz w:val="24"/>
                <w:szCs w:val="24"/>
                <w:highlight w:val="none"/>
                <w:lang w:val="en-US" w:eastAsia="zh-CN"/>
              </w:rPr>
              <w:t>10</w:t>
            </w:r>
            <w:r>
              <w:rPr>
                <w:rFonts w:hint="eastAsia" w:ascii="黑体" w:hAnsi="黑体" w:eastAsia="黑体" w:cs="黑体"/>
                <w:sz w:val="24"/>
                <w:szCs w:val="24"/>
                <w:highlight w:val="none"/>
              </w:rPr>
              <w:t>分；投标报价</w:t>
            </w: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rPr>
              <w:t>%，得分</w:t>
            </w:r>
            <w:r>
              <w:rPr>
                <w:rFonts w:hint="eastAsia" w:ascii="黑体" w:hAnsi="黑体" w:eastAsia="黑体" w:cs="黑体"/>
                <w:sz w:val="24"/>
                <w:szCs w:val="24"/>
                <w:highlight w:val="none"/>
                <w:lang w:val="en-US" w:eastAsia="zh-CN"/>
              </w:rPr>
              <w:t>20分</w:t>
            </w:r>
            <w:r>
              <w:rPr>
                <w:rFonts w:hint="eastAsia" w:ascii="黑体" w:hAnsi="黑体" w:eastAsia="黑体" w:cs="黑体"/>
                <w:sz w:val="24"/>
                <w:szCs w:val="24"/>
                <w:highlight w:val="none"/>
              </w:rPr>
              <w:t>。</w:t>
            </w:r>
          </w:p>
        </w:tc>
        <w:tc>
          <w:tcPr>
            <w:tcW w:w="1203" w:type="dxa"/>
            <w:vAlign w:val="center"/>
          </w:tcPr>
          <w:p>
            <w:pPr>
              <w:jc w:val="center"/>
              <w:rPr>
                <w:rFonts w:hint="eastAsia" w:ascii="黑体" w:hAnsi="黑体" w:eastAsia="黑体" w:cs="黑体"/>
                <w:sz w:val="22"/>
              </w:rPr>
            </w:pPr>
            <w:r>
              <w:rPr>
                <w:rFonts w:hint="eastAsia" w:ascii="黑体" w:hAnsi="黑体" w:eastAsia="黑体" w:cs="黑体"/>
                <w:sz w:val="22"/>
              </w:rPr>
              <w:t>0-</w:t>
            </w:r>
            <w:r>
              <w:rPr>
                <w:rFonts w:hint="eastAsia" w:ascii="黑体" w:hAnsi="黑体" w:eastAsia="黑体" w:cs="黑体"/>
                <w:sz w:val="22"/>
                <w:lang w:val="en-US" w:eastAsia="zh-CN"/>
              </w:rPr>
              <w:t>25</w:t>
            </w:r>
            <w:r>
              <w:rPr>
                <w:rFonts w:hint="eastAsia" w:ascii="黑体" w:hAnsi="黑体" w:eastAsia="黑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0" w:hRule="atLeast"/>
          <w:jc w:val="center"/>
        </w:trPr>
        <w:tc>
          <w:tcPr>
            <w:tcW w:w="1276" w:type="dxa"/>
            <w:vMerge w:val="restart"/>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lang w:eastAsia="zh-CN"/>
              </w:rPr>
              <w:t>商务</w:t>
            </w:r>
            <w:r>
              <w:rPr>
                <w:rFonts w:hint="eastAsia" w:ascii="黑体" w:hAnsi="黑体" w:eastAsia="黑体" w:cs="黑体"/>
                <w:sz w:val="24"/>
                <w:szCs w:val="24"/>
              </w:rPr>
              <w:t>标（</w:t>
            </w:r>
            <w:r>
              <w:rPr>
                <w:rFonts w:hint="eastAsia" w:ascii="黑体" w:hAnsi="黑体" w:eastAsia="黑体" w:cs="黑体"/>
                <w:sz w:val="24"/>
                <w:szCs w:val="24"/>
                <w:lang w:val="en-US" w:eastAsia="zh-CN"/>
              </w:rPr>
              <w:t>35</w:t>
            </w:r>
            <w:r>
              <w:rPr>
                <w:rFonts w:hint="eastAsia" w:ascii="黑体" w:hAnsi="黑体" w:eastAsia="黑体" w:cs="黑体"/>
                <w:sz w:val="24"/>
                <w:szCs w:val="24"/>
              </w:rPr>
              <w:t>分）</w:t>
            </w:r>
          </w:p>
        </w:tc>
        <w:tc>
          <w:tcPr>
            <w:tcW w:w="1518" w:type="dxa"/>
            <w:vMerge w:val="restart"/>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律师团队</w:t>
            </w:r>
          </w:p>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35</w:t>
            </w:r>
            <w:r>
              <w:rPr>
                <w:rFonts w:hint="eastAsia" w:ascii="黑体" w:hAnsi="黑体" w:eastAsia="黑体" w:cs="黑体"/>
                <w:sz w:val="24"/>
                <w:szCs w:val="24"/>
              </w:rPr>
              <w:t>分）</w:t>
            </w:r>
          </w:p>
        </w:tc>
        <w:tc>
          <w:tcPr>
            <w:tcW w:w="6156" w:type="dxa"/>
            <w:vAlign w:val="center"/>
          </w:tcPr>
          <w:p>
            <w:pPr>
              <w:widowControl/>
              <w:jc w:val="left"/>
              <w:textAlignment w:val="center"/>
              <w:rPr>
                <w:rFonts w:hint="eastAsia" w:ascii="黑体" w:hAnsi="黑体" w:eastAsia="黑体" w:cs="黑体"/>
                <w:bCs/>
                <w:sz w:val="24"/>
                <w:szCs w:val="24"/>
              </w:rPr>
            </w:pPr>
            <w:r>
              <w:rPr>
                <w:rFonts w:hint="eastAsia" w:ascii="黑体" w:hAnsi="黑体" w:eastAsia="黑体" w:cs="黑体"/>
                <w:sz w:val="24"/>
                <w:szCs w:val="24"/>
              </w:rPr>
              <w:t>拟派律师团队中每有1名律所高级合伙人得</w:t>
            </w:r>
            <w:r>
              <w:rPr>
                <w:rFonts w:hint="eastAsia" w:ascii="黑体" w:hAnsi="黑体" w:eastAsia="黑体" w:cs="黑体"/>
                <w:sz w:val="24"/>
                <w:szCs w:val="24"/>
                <w:lang w:val="en-US" w:eastAsia="zh-CN"/>
              </w:rPr>
              <w:t>3</w:t>
            </w:r>
            <w:r>
              <w:rPr>
                <w:rFonts w:hint="eastAsia" w:ascii="黑体" w:hAnsi="黑体" w:eastAsia="黑体" w:cs="黑体"/>
                <w:sz w:val="24"/>
                <w:szCs w:val="24"/>
              </w:rPr>
              <w:t>分，满分</w:t>
            </w:r>
            <w:r>
              <w:rPr>
                <w:rFonts w:hint="eastAsia" w:ascii="黑体" w:hAnsi="黑体" w:eastAsia="黑体" w:cs="黑体"/>
                <w:sz w:val="24"/>
                <w:szCs w:val="24"/>
                <w:lang w:val="en-US" w:eastAsia="zh-CN"/>
              </w:rPr>
              <w:t>9</w:t>
            </w:r>
            <w:r>
              <w:rPr>
                <w:rFonts w:hint="eastAsia" w:ascii="黑体" w:hAnsi="黑体" w:eastAsia="黑体" w:cs="黑体"/>
                <w:sz w:val="24"/>
                <w:szCs w:val="24"/>
              </w:rPr>
              <w:t>分：提供有效证明材料（加盖公章），未提供或无法证明的不得分。</w:t>
            </w:r>
          </w:p>
        </w:tc>
        <w:tc>
          <w:tcPr>
            <w:tcW w:w="120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0-</w:t>
            </w:r>
            <w:r>
              <w:rPr>
                <w:rFonts w:hint="eastAsia" w:ascii="黑体" w:hAnsi="黑体" w:eastAsia="黑体" w:cs="黑体"/>
                <w:sz w:val="24"/>
                <w:szCs w:val="24"/>
                <w:lang w:val="en-US" w:eastAsia="zh-CN"/>
              </w:rPr>
              <w:t>9</w:t>
            </w:r>
            <w:r>
              <w:rPr>
                <w:rFonts w:hint="eastAsia" w:ascii="黑体" w:hAnsi="黑体" w:eastAsia="黑体" w:cs="黑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6" w:hRule="atLeast"/>
          <w:jc w:val="center"/>
        </w:trPr>
        <w:tc>
          <w:tcPr>
            <w:tcW w:w="1276" w:type="dxa"/>
            <w:vMerge w:val="continue"/>
            <w:vAlign w:val="center"/>
          </w:tcPr>
          <w:p>
            <w:pPr>
              <w:spacing w:line="400" w:lineRule="exact"/>
              <w:jc w:val="center"/>
              <w:rPr>
                <w:rFonts w:hint="eastAsia" w:ascii="黑体" w:hAnsi="黑体" w:eastAsia="黑体" w:cs="黑体"/>
                <w:sz w:val="24"/>
                <w:szCs w:val="24"/>
              </w:rPr>
            </w:pPr>
          </w:p>
        </w:tc>
        <w:tc>
          <w:tcPr>
            <w:tcW w:w="1518" w:type="dxa"/>
            <w:vMerge w:val="continue"/>
            <w:vAlign w:val="center"/>
          </w:tcPr>
          <w:p>
            <w:pPr>
              <w:widowControl/>
              <w:jc w:val="center"/>
              <w:textAlignment w:val="center"/>
              <w:rPr>
                <w:rFonts w:hint="eastAsia" w:ascii="黑体" w:hAnsi="黑体" w:eastAsia="黑体" w:cs="黑体"/>
                <w:sz w:val="24"/>
                <w:szCs w:val="24"/>
              </w:rPr>
            </w:pPr>
          </w:p>
        </w:tc>
        <w:tc>
          <w:tcPr>
            <w:tcW w:w="6156" w:type="dxa"/>
            <w:vAlign w:val="center"/>
          </w:tcPr>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lang w:val="en-US" w:eastAsia="zh-CN"/>
              </w:rPr>
              <w:t>1</w:t>
            </w:r>
            <w:r>
              <w:rPr>
                <w:rFonts w:hint="eastAsia" w:ascii="黑体" w:hAnsi="黑体" w:eastAsia="黑体" w:cs="黑体"/>
                <w:sz w:val="24"/>
                <w:szCs w:val="24"/>
              </w:rPr>
              <w:t>.近5年投标人拟派律师作为主办律师承担过建筑工程类诉讼或仲裁类标</w:t>
            </w:r>
            <w:r>
              <w:rPr>
                <w:rFonts w:hint="eastAsia" w:ascii="黑体" w:hAnsi="黑体" w:eastAsia="黑体" w:cs="黑体"/>
                <w:sz w:val="24"/>
                <w:szCs w:val="24"/>
                <w:highlight w:val="none"/>
              </w:rPr>
              <w:t>的额500万元（含）以上的代理案件，每提供一个业绩，得</w:t>
            </w: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rPr>
              <w:t>分，满分</w:t>
            </w:r>
            <w:r>
              <w:rPr>
                <w:rFonts w:hint="eastAsia" w:ascii="黑体" w:hAnsi="黑体" w:eastAsia="黑体" w:cs="黑体"/>
                <w:sz w:val="24"/>
                <w:szCs w:val="24"/>
                <w:highlight w:val="none"/>
                <w:lang w:val="en-US" w:eastAsia="zh-CN"/>
              </w:rPr>
              <w:t>8</w:t>
            </w:r>
            <w:r>
              <w:rPr>
                <w:rFonts w:hint="eastAsia" w:ascii="黑体" w:hAnsi="黑体" w:eastAsia="黑体" w:cs="黑体"/>
                <w:sz w:val="24"/>
                <w:szCs w:val="24"/>
                <w:highlight w:val="none"/>
              </w:rPr>
              <w:t>分；</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rPr>
              <w:t>.近5年投标人拟派律师作为主办律师承担过建筑工程类诉讼或仲裁类标的额</w:t>
            </w:r>
            <w:r>
              <w:rPr>
                <w:rFonts w:hint="eastAsia" w:ascii="黑体" w:hAnsi="黑体" w:eastAsia="黑体" w:cs="黑体"/>
                <w:sz w:val="24"/>
                <w:szCs w:val="24"/>
                <w:highlight w:val="none"/>
                <w:lang w:val="en-US" w:eastAsia="zh-CN"/>
              </w:rPr>
              <w:t>2000</w:t>
            </w:r>
            <w:r>
              <w:rPr>
                <w:rFonts w:hint="eastAsia" w:ascii="黑体" w:hAnsi="黑体" w:eastAsia="黑体" w:cs="黑体"/>
                <w:sz w:val="24"/>
                <w:szCs w:val="24"/>
                <w:highlight w:val="none"/>
              </w:rPr>
              <w:t>万元（含）以上的代理案件并胜诉的，得</w:t>
            </w: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rPr>
              <w:t>分，满分</w:t>
            </w:r>
            <w:r>
              <w:rPr>
                <w:rFonts w:hint="eastAsia" w:ascii="黑体" w:hAnsi="黑体" w:eastAsia="黑体" w:cs="黑体"/>
                <w:sz w:val="24"/>
                <w:szCs w:val="24"/>
                <w:highlight w:val="none"/>
                <w:lang w:val="en-US" w:eastAsia="zh-CN"/>
              </w:rPr>
              <w:t>16</w:t>
            </w:r>
            <w:r>
              <w:rPr>
                <w:rFonts w:hint="eastAsia" w:ascii="黑体" w:hAnsi="黑体" w:eastAsia="黑体" w:cs="黑体"/>
                <w:sz w:val="24"/>
                <w:szCs w:val="24"/>
                <w:highlight w:val="none"/>
              </w:rPr>
              <w:t>分。</w:t>
            </w:r>
          </w:p>
          <w:p>
            <w:pPr>
              <w:widowControl/>
              <w:jc w:val="left"/>
              <w:textAlignment w:val="center"/>
              <w:rPr>
                <w:rFonts w:hint="eastAsia" w:ascii="黑体" w:hAnsi="黑体" w:eastAsia="黑体" w:cs="黑体"/>
                <w:sz w:val="24"/>
                <w:szCs w:val="24"/>
              </w:rPr>
            </w:pPr>
            <w:r>
              <w:rPr>
                <w:rFonts w:hint="eastAsia" w:ascii="黑体" w:hAnsi="黑体" w:eastAsia="黑体" w:cs="黑体"/>
                <w:sz w:val="24"/>
                <w:szCs w:val="24"/>
                <w:highlight w:val="none"/>
                <w:lang w:val="en-US" w:eastAsia="zh-CN"/>
              </w:rPr>
              <w:t>3</w:t>
            </w:r>
            <w:r>
              <w:rPr>
                <w:rFonts w:hint="eastAsia" w:ascii="黑体" w:hAnsi="黑体" w:eastAsia="黑体" w:cs="黑体"/>
                <w:sz w:val="24"/>
                <w:szCs w:val="24"/>
                <w:highlight w:val="none"/>
              </w:rPr>
              <w:t>.近5年投标人拟派律师作为主办律师承担过建筑工程类诉讼或仲裁类标的额500</w:t>
            </w:r>
            <w:r>
              <w:rPr>
                <w:rFonts w:hint="eastAsia" w:ascii="黑体" w:hAnsi="黑体" w:eastAsia="黑体" w:cs="黑体"/>
                <w:sz w:val="24"/>
                <w:szCs w:val="24"/>
                <w:highlight w:val="none"/>
                <w:lang w:val="en-US" w:eastAsia="zh-CN"/>
              </w:rPr>
              <w:t>0</w:t>
            </w:r>
            <w:r>
              <w:rPr>
                <w:rFonts w:hint="eastAsia" w:ascii="黑体" w:hAnsi="黑体" w:eastAsia="黑体" w:cs="黑体"/>
                <w:sz w:val="24"/>
                <w:szCs w:val="24"/>
                <w:highlight w:val="none"/>
              </w:rPr>
              <w:t>万元（</w:t>
            </w:r>
            <w:r>
              <w:rPr>
                <w:rFonts w:hint="eastAsia" w:ascii="黑体" w:hAnsi="黑体" w:eastAsia="黑体" w:cs="黑体"/>
                <w:sz w:val="24"/>
                <w:szCs w:val="24"/>
              </w:rPr>
              <w:t>含）以上的代理案件并胜诉的，得</w:t>
            </w:r>
            <w:r>
              <w:rPr>
                <w:rFonts w:hint="eastAsia" w:ascii="黑体" w:hAnsi="黑体" w:eastAsia="黑体" w:cs="黑体"/>
                <w:sz w:val="24"/>
                <w:szCs w:val="24"/>
                <w:lang w:val="en-US" w:eastAsia="zh-CN"/>
              </w:rPr>
              <w:t>6.5</w:t>
            </w:r>
            <w:r>
              <w:rPr>
                <w:rFonts w:hint="eastAsia" w:ascii="黑体" w:hAnsi="黑体" w:eastAsia="黑体" w:cs="黑体"/>
                <w:sz w:val="24"/>
                <w:szCs w:val="24"/>
              </w:rPr>
              <w:t>分，满分</w:t>
            </w:r>
            <w:r>
              <w:rPr>
                <w:rFonts w:hint="eastAsia" w:ascii="黑体" w:hAnsi="黑体" w:eastAsia="黑体" w:cs="黑体"/>
                <w:sz w:val="24"/>
                <w:szCs w:val="24"/>
                <w:lang w:val="en-US" w:eastAsia="zh-CN"/>
              </w:rPr>
              <w:t>26</w:t>
            </w:r>
            <w:r>
              <w:rPr>
                <w:rFonts w:hint="eastAsia" w:ascii="黑体" w:hAnsi="黑体" w:eastAsia="黑体" w:cs="黑体"/>
                <w:sz w:val="24"/>
                <w:szCs w:val="24"/>
              </w:rPr>
              <w:t>分。</w:t>
            </w:r>
          </w:p>
          <w:p>
            <w:pPr>
              <w:widowControl/>
              <w:jc w:val="left"/>
              <w:textAlignment w:val="center"/>
              <w:rPr>
                <w:rFonts w:hint="eastAsia" w:ascii="黑体" w:hAnsi="黑体" w:eastAsia="黑体" w:cs="黑体"/>
                <w:bCs/>
                <w:sz w:val="24"/>
                <w:szCs w:val="24"/>
              </w:rPr>
            </w:pPr>
            <w:r>
              <w:rPr>
                <w:rFonts w:hint="eastAsia" w:ascii="黑体" w:hAnsi="黑体" w:eastAsia="黑体" w:cs="黑体"/>
                <w:sz w:val="24"/>
                <w:szCs w:val="24"/>
              </w:rPr>
              <w:t>注：提供业绩合同和胜诉证明等材料（加盖公章）</w:t>
            </w:r>
            <w:r>
              <w:rPr>
                <w:rFonts w:hint="eastAsia" w:ascii="黑体" w:hAnsi="黑体" w:eastAsia="黑体" w:cs="黑体"/>
                <w:bCs/>
                <w:sz w:val="24"/>
                <w:szCs w:val="24"/>
              </w:rPr>
              <w:t>，主办律师包括项目负责人或业绩合同中律师团队排名前2名的；</w:t>
            </w:r>
            <w:r>
              <w:rPr>
                <w:rFonts w:hint="eastAsia" w:ascii="黑体" w:hAnsi="黑体" w:eastAsia="黑体" w:cs="黑体"/>
                <w:bCs/>
                <w:sz w:val="24"/>
                <w:szCs w:val="24"/>
                <w:lang w:val="en-US" w:eastAsia="zh-CN"/>
              </w:rPr>
              <w:t>1</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2</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3</w:t>
            </w:r>
            <w:r>
              <w:rPr>
                <w:rFonts w:hint="eastAsia" w:ascii="黑体" w:hAnsi="黑体" w:eastAsia="黑体" w:cs="黑体"/>
                <w:bCs/>
                <w:sz w:val="24"/>
                <w:szCs w:val="24"/>
              </w:rPr>
              <w:t>不合并计算得分，以最高分计算，未提供或无法证明的不得分。</w:t>
            </w:r>
          </w:p>
        </w:tc>
        <w:tc>
          <w:tcPr>
            <w:tcW w:w="120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0-</w:t>
            </w:r>
            <w:r>
              <w:rPr>
                <w:rFonts w:hint="eastAsia" w:ascii="黑体" w:hAnsi="黑体" w:eastAsia="黑体" w:cs="黑体"/>
                <w:sz w:val="24"/>
                <w:szCs w:val="24"/>
                <w:lang w:val="en-US" w:eastAsia="zh-CN"/>
              </w:rPr>
              <w:t>26</w:t>
            </w:r>
            <w:r>
              <w:rPr>
                <w:rFonts w:hint="eastAsia" w:ascii="黑体" w:hAnsi="黑体" w:eastAsia="黑体" w:cs="黑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276" w:type="dxa"/>
            <w:vAlign w:val="center"/>
          </w:tcPr>
          <w:p>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技术标</w:t>
            </w:r>
          </w:p>
          <w:p>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30分</w:t>
            </w:r>
            <w:r>
              <w:rPr>
                <w:rFonts w:hint="eastAsia" w:ascii="黑体" w:hAnsi="黑体" w:eastAsia="黑体" w:cs="黑体"/>
                <w:sz w:val="24"/>
                <w:szCs w:val="24"/>
                <w:lang w:eastAsia="zh-CN"/>
              </w:rPr>
              <w:t>）</w:t>
            </w:r>
          </w:p>
        </w:tc>
        <w:tc>
          <w:tcPr>
            <w:tcW w:w="151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应诉方案</w:t>
            </w:r>
          </w:p>
          <w:p>
            <w:pPr>
              <w:widowControl/>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30分</w:t>
            </w:r>
            <w:r>
              <w:rPr>
                <w:rFonts w:hint="eastAsia" w:ascii="黑体" w:hAnsi="黑体" w:eastAsia="黑体" w:cs="黑体"/>
                <w:sz w:val="24"/>
                <w:szCs w:val="24"/>
                <w:lang w:eastAsia="zh-CN"/>
              </w:rPr>
              <w:t>）</w:t>
            </w:r>
          </w:p>
        </w:tc>
        <w:tc>
          <w:tcPr>
            <w:tcW w:w="6156" w:type="dxa"/>
            <w:vAlign w:val="center"/>
          </w:tcPr>
          <w:p>
            <w:pPr>
              <w:adjustRightInd w:val="0"/>
              <w:snapToGrid w:val="0"/>
              <w:spacing w:line="300" w:lineRule="auto"/>
              <w:rPr>
                <w:rFonts w:hint="eastAsia" w:ascii="黑体" w:hAnsi="黑体" w:eastAsia="黑体" w:cs="黑体"/>
                <w:kern w:val="0"/>
                <w:sz w:val="24"/>
                <w:szCs w:val="24"/>
              </w:rPr>
            </w:pPr>
            <w:r>
              <w:rPr>
                <w:rFonts w:hint="eastAsia" w:ascii="黑体" w:hAnsi="黑体" w:eastAsia="黑体" w:cs="黑体"/>
                <w:kern w:val="0"/>
                <w:sz w:val="24"/>
                <w:szCs w:val="24"/>
              </w:rPr>
              <w:t>投标人就本项目出具应诉方案（项目目标、整体思路、重点难点等），在响应文件进行阐述。</w:t>
            </w:r>
          </w:p>
          <w:p>
            <w:pPr>
              <w:adjustRightInd w:val="0"/>
              <w:snapToGrid w:val="0"/>
              <w:spacing w:line="300" w:lineRule="auto"/>
              <w:rPr>
                <w:rFonts w:hint="eastAsia" w:ascii="黑体" w:hAnsi="黑体" w:eastAsia="黑体" w:cs="黑体"/>
                <w:kern w:val="0"/>
                <w:sz w:val="24"/>
                <w:szCs w:val="24"/>
              </w:rPr>
            </w:pPr>
            <w:r>
              <w:rPr>
                <w:rFonts w:hint="eastAsia" w:ascii="黑体" w:hAnsi="黑体" w:eastAsia="黑体" w:cs="黑体"/>
                <w:kern w:val="0"/>
                <w:sz w:val="24"/>
                <w:szCs w:val="24"/>
              </w:rPr>
              <w:t>应诉方案充分、准确，思路清晰、合理，分析详细、针对性强的，得</w:t>
            </w:r>
            <w:r>
              <w:rPr>
                <w:rFonts w:hint="eastAsia" w:ascii="黑体" w:hAnsi="黑体" w:eastAsia="黑体" w:cs="黑体"/>
                <w:kern w:val="0"/>
                <w:sz w:val="24"/>
                <w:szCs w:val="24"/>
                <w:lang w:val="en-US" w:eastAsia="zh-CN"/>
              </w:rPr>
              <w:t>25-30</w:t>
            </w:r>
            <w:r>
              <w:rPr>
                <w:rFonts w:hint="eastAsia" w:ascii="黑体" w:hAnsi="黑体" w:eastAsia="黑体" w:cs="黑体"/>
                <w:kern w:val="0"/>
                <w:sz w:val="24"/>
                <w:szCs w:val="24"/>
              </w:rPr>
              <w:t>分；</w:t>
            </w:r>
          </w:p>
          <w:p>
            <w:pPr>
              <w:widowControl/>
              <w:jc w:val="left"/>
              <w:textAlignment w:val="center"/>
              <w:rPr>
                <w:rFonts w:hint="eastAsia" w:ascii="黑体" w:hAnsi="黑体" w:eastAsia="黑体" w:cs="黑体"/>
                <w:kern w:val="0"/>
                <w:sz w:val="24"/>
                <w:szCs w:val="24"/>
                <w:lang w:eastAsia="zh-CN"/>
              </w:rPr>
            </w:pPr>
            <w:r>
              <w:rPr>
                <w:rFonts w:hint="eastAsia" w:ascii="黑体" w:hAnsi="黑体" w:eastAsia="黑体" w:cs="黑体"/>
                <w:kern w:val="0"/>
                <w:sz w:val="24"/>
                <w:szCs w:val="24"/>
              </w:rPr>
              <w:t>应诉方案思路较为清晰、合理，能够进行针对性分析的，得</w:t>
            </w:r>
            <w:r>
              <w:rPr>
                <w:rFonts w:hint="eastAsia" w:ascii="黑体" w:hAnsi="黑体" w:eastAsia="黑体" w:cs="黑体"/>
                <w:kern w:val="0"/>
                <w:sz w:val="24"/>
                <w:szCs w:val="24"/>
                <w:lang w:val="en-US" w:eastAsia="zh-CN"/>
              </w:rPr>
              <w:t>15-24</w:t>
            </w:r>
            <w:r>
              <w:rPr>
                <w:rFonts w:hint="eastAsia" w:ascii="黑体" w:hAnsi="黑体" w:eastAsia="黑体" w:cs="黑体"/>
                <w:kern w:val="0"/>
                <w:sz w:val="24"/>
                <w:szCs w:val="24"/>
              </w:rPr>
              <w:t>分</w:t>
            </w:r>
            <w:r>
              <w:rPr>
                <w:rFonts w:hint="eastAsia" w:ascii="黑体" w:hAnsi="黑体" w:eastAsia="黑体" w:cs="黑体"/>
                <w:kern w:val="0"/>
                <w:sz w:val="24"/>
                <w:szCs w:val="24"/>
                <w:lang w:eastAsia="zh-CN"/>
              </w:rPr>
              <w:t>；</w:t>
            </w:r>
          </w:p>
          <w:p>
            <w:pPr>
              <w:widowControl/>
              <w:jc w:val="left"/>
              <w:textAlignment w:val="center"/>
              <w:rPr>
                <w:rFonts w:hint="eastAsia" w:ascii="黑体" w:hAnsi="黑体" w:eastAsia="黑体" w:cs="黑体"/>
                <w:sz w:val="24"/>
                <w:szCs w:val="24"/>
              </w:rPr>
            </w:pPr>
            <w:r>
              <w:rPr>
                <w:rFonts w:hint="eastAsia" w:ascii="黑体" w:hAnsi="黑体" w:eastAsia="黑体" w:cs="黑体"/>
                <w:kern w:val="0"/>
                <w:sz w:val="24"/>
                <w:szCs w:val="24"/>
              </w:rPr>
              <w:t>应诉方案质量差，表述不充分，思路不够清晰，内容有所欠缺、针对性不强的，得</w:t>
            </w:r>
            <w:r>
              <w:rPr>
                <w:rFonts w:hint="eastAsia" w:ascii="黑体" w:hAnsi="黑体" w:eastAsia="黑体" w:cs="黑体"/>
                <w:kern w:val="0"/>
                <w:sz w:val="24"/>
                <w:szCs w:val="24"/>
                <w:lang w:val="en-US" w:eastAsia="zh-CN"/>
              </w:rPr>
              <w:t>0-14</w:t>
            </w:r>
            <w:r>
              <w:rPr>
                <w:rFonts w:hint="eastAsia" w:ascii="黑体" w:hAnsi="黑体" w:eastAsia="黑体" w:cs="黑体"/>
                <w:kern w:val="0"/>
                <w:sz w:val="24"/>
                <w:szCs w:val="24"/>
              </w:rPr>
              <w:t>分。</w:t>
            </w:r>
          </w:p>
        </w:tc>
        <w:tc>
          <w:tcPr>
            <w:tcW w:w="120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0-</w:t>
            </w:r>
            <w:r>
              <w:rPr>
                <w:rFonts w:hint="eastAsia" w:ascii="黑体" w:hAnsi="黑体" w:eastAsia="黑体" w:cs="黑体"/>
                <w:sz w:val="24"/>
                <w:szCs w:val="24"/>
                <w:lang w:val="en-US" w:eastAsia="zh-CN"/>
              </w:rPr>
              <w:t>30</w:t>
            </w:r>
            <w:r>
              <w:rPr>
                <w:rFonts w:hint="eastAsia" w:ascii="黑体" w:hAnsi="黑体" w:eastAsia="黑体" w:cs="黑体"/>
                <w:sz w:val="24"/>
                <w:szCs w:val="24"/>
              </w:rPr>
              <w:t>分</w:t>
            </w: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注：近五年以来指201</w:t>
      </w: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月1日以来。业绩合同以合同签订时间为准，涉及胜诉要求的，时间以判决书下达时间为准。胜诉：作为原告代理律所/律师，原告主张金额得到50%及以上判决的，或作为被告代理律所/律师，被告被减免50%及以上赔付判决的情形。</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四、得分排名规则和中标人确定</w:t>
      </w:r>
    </w:p>
    <w:p>
      <w:pPr>
        <w:pStyle w:val="12"/>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1、投标人的综合得分为报价部分得分</w:t>
      </w:r>
      <w:r>
        <w:rPr>
          <w:rFonts w:hint="eastAsia" w:ascii="仿宋_GB2312" w:hAnsi="仿宋_GB2312" w:eastAsia="仿宋_GB2312" w:cs="仿宋_GB2312"/>
          <w:sz w:val="28"/>
          <w:szCs w:val="28"/>
          <w:lang w:eastAsia="zh-CN"/>
        </w:rPr>
        <w:t>、商务及</w:t>
      </w:r>
      <w:r>
        <w:rPr>
          <w:rFonts w:hint="eastAsia" w:ascii="仿宋_GB2312" w:hAnsi="仿宋_GB2312" w:eastAsia="仿宋_GB2312" w:cs="仿宋_GB2312"/>
          <w:sz w:val="28"/>
          <w:szCs w:val="28"/>
        </w:rPr>
        <w:t>技术部分得分之和（取两位有效数字，第三位四舍五入），按照综合得分由高到低的顺序排名。</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2、评标委员会按综合得分由高到低顺序推荐1名中标候选人，综合得分相同时，评标委员会依次按照以下优先顺序推荐中标候选人：</w:t>
      </w:r>
    </w:p>
    <w:p>
      <w:pPr>
        <w:pStyle w:val="12"/>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（1）投标报价较低的投标人优先；</w:t>
      </w:r>
    </w:p>
    <w:p>
      <w:pPr>
        <w:pStyle w:val="12"/>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（2）投标报价相同时，由</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部分得分较高者优先。</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3、当通过资格审查及符合性审查的家数少于3家，满足2家时，现场转磋商。磋商时仅对</w:t>
      </w:r>
      <w:r>
        <w:rPr>
          <w:rFonts w:hint="eastAsia" w:ascii="仿宋_GB2312" w:hAnsi="仿宋_GB2312" w:eastAsia="仿宋_GB2312" w:cs="仿宋_GB2312"/>
          <w:sz w:val="28"/>
          <w:szCs w:val="28"/>
          <w:highlight w:val="none"/>
          <w:lang w:val="en-US" w:eastAsia="zh-CN"/>
        </w:rPr>
        <w:t>风险代理费用</w:t>
      </w:r>
      <w:r>
        <w:rPr>
          <w:rFonts w:hint="eastAsia" w:ascii="仿宋_GB2312" w:hAnsi="仿宋_GB2312" w:eastAsia="仿宋_GB2312" w:cs="仿宋_GB2312"/>
          <w:sz w:val="28"/>
          <w:szCs w:val="28"/>
          <w:highlight w:val="none"/>
        </w:rPr>
        <w:t>进行磋商（两轮），最终报价每高出磋商后的有效最低价1个百分点，扣</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分。供应商综合得分为</w:t>
      </w:r>
      <w:r>
        <w:rPr>
          <w:rFonts w:hint="eastAsia" w:ascii="仿宋_GB2312" w:hAnsi="仿宋_GB2312" w:eastAsia="仿宋_GB2312" w:cs="仿宋_GB2312"/>
          <w:sz w:val="28"/>
          <w:szCs w:val="28"/>
          <w:highlight w:val="none"/>
          <w:lang w:eastAsia="zh-CN"/>
        </w:rPr>
        <w:t>商务、</w:t>
      </w:r>
      <w:r>
        <w:rPr>
          <w:rFonts w:hint="eastAsia" w:ascii="仿宋_GB2312" w:hAnsi="仿宋_GB2312" w:eastAsia="仿宋_GB2312" w:cs="仿宋_GB2312"/>
          <w:sz w:val="28"/>
          <w:szCs w:val="28"/>
          <w:highlight w:val="none"/>
        </w:rPr>
        <w:t>技术部分得分与报价部分得分之和（取两位有效数字，第三位四舍五入），按照综合得分由高到低的顺序排名。</w:t>
      </w:r>
    </w:p>
    <w:p>
      <w:pPr>
        <w:spacing w:line="360" w:lineRule="auto"/>
        <w:ind w:firstLine="560" w:firstLineChars="200"/>
        <w:rPr>
          <w:rFonts w:hint="eastAsia" w:ascii="仿宋_GB2312" w:hAnsi="仿宋_GB2312" w:eastAsia="仿宋_GB2312" w:cs="仿宋_GB2312"/>
          <w:sz w:val="28"/>
          <w:szCs w:val="28"/>
          <w:highlight w:val="none"/>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520" w:lineRule="exact"/>
        <w:jc w:val="both"/>
        <w:outlineLvl w:val="0"/>
        <w:rPr>
          <w:rFonts w:hint="eastAsia" w:ascii="方正小标宋简体" w:hAnsi="方正小标宋简体" w:eastAsia="方正小标宋简体" w:cs="方正小标宋简体"/>
          <w:b w:val="0"/>
          <w:bCs w:val="0"/>
          <w:kern w:val="44"/>
          <w:sz w:val="40"/>
          <w:szCs w:val="40"/>
        </w:rPr>
      </w:pPr>
      <w:bookmarkStart w:id="85" w:name="_Toc26520"/>
    </w:p>
    <w:p>
      <w:pPr>
        <w:spacing w:line="520" w:lineRule="exact"/>
        <w:jc w:val="center"/>
        <w:outlineLvl w:val="0"/>
        <w:rPr>
          <w:rFonts w:hint="eastAsia" w:ascii="方正小标宋简体" w:hAnsi="方正小标宋简体" w:eastAsia="方正小标宋简体" w:cs="方正小标宋简体"/>
          <w:b w:val="0"/>
          <w:bCs w:val="0"/>
          <w:kern w:val="44"/>
          <w:sz w:val="40"/>
          <w:szCs w:val="40"/>
        </w:rPr>
      </w:pPr>
    </w:p>
    <w:p>
      <w:pPr>
        <w:spacing w:line="520" w:lineRule="exact"/>
        <w:jc w:val="center"/>
        <w:outlineLvl w:val="0"/>
        <w:rPr>
          <w:rFonts w:hint="eastAsia" w:ascii="方正小标宋简体" w:hAnsi="方正小标宋简体" w:eastAsia="方正小标宋简体" w:cs="方正小标宋简体"/>
          <w:b w:val="0"/>
          <w:bCs w:val="0"/>
          <w:kern w:val="44"/>
          <w:sz w:val="40"/>
          <w:szCs w:val="40"/>
        </w:rPr>
      </w:pPr>
    </w:p>
    <w:p>
      <w:pPr>
        <w:spacing w:line="520" w:lineRule="exact"/>
        <w:jc w:val="center"/>
        <w:outlineLvl w:val="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kern w:val="44"/>
          <w:sz w:val="40"/>
          <w:szCs w:val="40"/>
        </w:rPr>
        <w:t>第四章 合同条款</w:t>
      </w:r>
      <w:bookmarkEnd w:id="85"/>
    </w:p>
    <w:p>
      <w:pPr>
        <w:spacing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（以委托人和中标人后期协商为准）</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委托人（甲方）</w:t>
      </w:r>
      <w:r>
        <w:rPr>
          <w:rFonts w:hint="eastAsia" w:ascii="仿宋_GB2312" w:hAnsi="仿宋_GB2312" w:eastAsia="仿宋_GB2312" w:cs="仿宋_GB2312"/>
          <w:sz w:val="28"/>
          <w:szCs w:val="28"/>
        </w:rPr>
        <w:t>： 黄山屏水文化旅游有限公司</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安徽文化旅游投资集团有限责任公司</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受托人（乙方）：</w:t>
      </w:r>
    </w:p>
    <w:p>
      <w:pPr>
        <w:spacing w:line="52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pPr>
        <w:spacing w:line="52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联系电话（手机）：</w:t>
      </w:r>
    </w:p>
    <w:p>
      <w:pPr>
        <w:spacing w:line="520" w:lineRule="exact"/>
        <w:ind w:firstLine="548" w:firstLineChars="196"/>
        <w:rPr>
          <w:rFonts w:hint="eastAsia" w:ascii="仿宋_GB2312" w:hAnsi="仿宋_GB2312" w:eastAsia="仿宋_GB2312" w:cs="仿宋_GB2312"/>
          <w:sz w:val="28"/>
          <w:szCs w:val="28"/>
        </w:rPr>
      </w:pPr>
    </w:p>
    <w:p>
      <w:pPr>
        <w:spacing w:line="520" w:lineRule="exact"/>
        <w:ind w:firstLine="525" w:firstLineChars="196"/>
        <w:rPr>
          <w:rFonts w:hint="eastAsia" w:ascii="仿宋_GB2312" w:hAnsi="仿宋_GB2312" w:eastAsia="仿宋_GB2312" w:cs="仿宋_GB2312"/>
          <w:b/>
          <w:spacing w:val="-6"/>
          <w:sz w:val="28"/>
          <w:szCs w:val="28"/>
        </w:rPr>
      </w:pPr>
      <w:r>
        <w:rPr>
          <w:rFonts w:hint="eastAsia" w:ascii="仿宋_GB2312" w:hAnsi="仿宋_GB2312" w:eastAsia="仿宋_GB2312" w:cs="仿宋_GB2312"/>
          <w:spacing w:val="-6"/>
          <w:sz w:val="28"/>
          <w:szCs w:val="28"/>
        </w:rPr>
        <w:t>依据我国律师法等法律法规，甲乙双方经过充分协商，自愿签订本合同：</w:t>
      </w:r>
    </w:p>
    <w:p>
      <w:pPr>
        <w:spacing w:line="520" w:lineRule="exact"/>
        <w:ind w:firstLine="551" w:firstLineChars="196"/>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服务范围、期限　</w:t>
      </w:r>
      <w:r>
        <w:rPr>
          <w:rFonts w:hint="eastAsia" w:ascii="仿宋_GB2312" w:hAnsi="仿宋_GB2312" w:eastAsia="仿宋_GB2312" w:cs="仿宋_GB2312"/>
          <w:sz w:val="28"/>
          <w:szCs w:val="28"/>
        </w:rPr>
        <w:t>甲方委托处理的法律事务（以下简称本</w:t>
      </w:r>
      <w:r>
        <w:rPr>
          <w:rFonts w:hint="eastAsia" w:ascii="仿宋_GB2312" w:hAnsi="仿宋_GB2312" w:eastAsia="仿宋_GB2312" w:cs="仿宋_GB2312"/>
          <w:spacing w:val="-6"/>
          <w:sz w:val="28"/>
          <w:szCs w:val="28"/>
        </w:rPr>
        <w:t>事务）为</w:t>
      </w:r>
      <w:r>
        <w:rPr>
          <w:rFonts w:hint="eastAsia" w:ascii="仿宋_GB2312" w:hAnsi="仿宋_GB2312" w:eastAsia="仿宋_GB2312" w:cs="仿宋_GB2312"/>
          <w:spacing w:val="-6"/>
          <w:sz w:val="28"/>
          <w:szCs w:val="28"/>
          <w:highlight w:val="none"/>
        </w:rPr>
        <w:t>委托人起诉杭州萧山园林有限公司建设工程施工合同纠纷案件</w:t>
      </w:r>
      <w:r>
        <w:rPr>
          <w:rFonts w:hint="eastAsia" w:ascii="仿宋_GB2312" w:hAnsi="仿宋_GB2312" w:eastAsia="仿宋_GB2312" w:cs="仿宋_GB2312"/>
          <w:spacing w:val="-6"/>
          <w:sz w:val="28"/>
          <w:szCs w:val="28"/>
          <w:highlight w:val="none"/>
          <w:lang w:val="en-US" w:eastAsia="zh-CN"/>
        </w:rPr>
        <w:t>二审</w:t>
      </w:r>
      <w:r>
        <w:rPr>
          <w:rFonts w:hint="eastAsia" w:ascii="仿宋_GB2312" w:hAnsi="仿宋_GB2312" w:eastAsia="仿宋_GB2312" w:cs="仿宋_GB2312"/>
          <w:spacing w:val="-6"/>
          <w:sz w:val="28"/>
          <w:szCs w:val="28"/>
          <w:highlight w:val="none"/>
        </w:rPr>
        <w:t>民事诉讼活动。甲方</w:t>
      </w:r>
      <w:r>
        <w:rPr>
          <w:rFonts w:hint="eastAsia" w:ascii="仿宋_GB2312" w:hAnsi="仿宋_GB2312" w:eastAsia="仿宋_GB2312" w:cs="仿宋_GB2312"/>
          <w:spacing w:val="-6"/>
          <w:sz w:val="28"/>
          <w:szCs w:val="28"/>
        </w:rPr>
        <w:t>授予乙方的具体权限见授权委托书。除非另有书面合同的约定，乙方律师无权利和义务代理甲方处理本事务之外的其它法律事务。</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服务期限自本合同生效之日起至案件审理结束，法院出具</w:t>
      </w:r>
      <w:r>
        <w:rPr>
          <w:rFonts w:hint="eastAsia" w:ascii="仿宋_GB2312" w:hAnsi="仿宋_GB2312" w:eastAsia="仿宋_GB2312" w:cs="仿宋_GB2312"/>
          <w:sz w:val="28"/>
          <w:szCs w:val="28"/>
          <w:lang w:val="en-US" w:eastAsia="zh-CN"/>
        </w:rPr>
        <w:t>二审</w:t>
      </w:r>
      <w:r>
        <w:rPr>
          <w:rFonts w:hint="eastAsia" w:ascii="仿宋_GB2312" w:hAnsi="仿宋_GB2312" w:eastAsia="仿宋_GB2312" w:cs="仿宋_GB2312"/>
          <w:sz w:val="28"/>
          <w:szCs w:val="28"/>
        </w:rPr>
        <w:t>判决书时止，案件的终结方式包括判决、调解与和解、撤回起诉等情形。</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第二条　承办律师及助理  </w:t>
      </w:r>
      <w:r>
        <w:rPr>
          <w:rFonts w:hint="eastAsia" w:ascii="仿宋_GB2312" w:hAnsi="仿宋_GB2312" w:eastAsia="仿宋_GB2312" w:cs="仿宋_GB2312"/>
          <w:sz w:val="28"/>
          <w:szCs w:val="28"/>
        </w:rPr>
        <w:t>乙方指派</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律师为本事务的承办律师（以下简称"律师")，并指定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律师为委派律师团队负责人，直接负责和承担法庭质证、辩护等事务。</w:t>
      </w:r>
    </w:p>
    <w:p>
      <w:pPr>
        <w:spacing w:line="52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rPr>
        <w:t>第三条　律师服务费　</w:t>
      </w:r>
      <w:r>
        <w:rPr>
          <w:rFonts w:hint="eastAsia" w:ascii="仿宋_GB2312" w:hAnsi="仿宋_GB2312" w:eastAsia="仿宋_GB2312" w:cs="仿宋_GB2312"/>
          <w:sz w:val="28"/>
          <w:szCs w:val="28"/>
        </w:rPr>
        <w:t>双方经协商同意按下述方式计算确定并支付</w:t>
      </w:r>
      <w:r>
        <w:rPr>
          <w:rFonts w:hint="eastAsia" w:ascii="仿宋_GB2312" w:hAnsi="仿宋_GB2312" w:eastAsia="仿宋_GB2312" w:cs="仿宋_GB2312"/>
          <w:sz w:val="28"/>
          <w:szCs w:val="28"/>
          <w:highlight w:val="none"/>
        </w:rPr>
        <w:t>律师服务费。</w:t>
      </w:r>
    </w:p>
    <w:p>
      <w:pPr>
        <w:spacing w:line="52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1、基本代理</w:t>
      </w:r>
      <w:r>
        <w:rPr>
          <w:rFonts w:hint="eastAsia" w:ascii="仿宋_GB2312" w:hAnsi="仿宋_GB2312" w:eastAsia="仿宋_GB2312" w:cs="仿宋_GB2312"/>
          <w:sz w:val="28"/>
          <w:szCs w:val="28"/>
          <w:highlight w:val="none"/>
        </w:rPr>
        <w:t>费用</w:t>
      </w:r>
      <w:r>
        <w:rPr>
          <w:rFonts w:hint="eastAsia" w:ascii="仿宋_GB2312" w:hAnsi="仿宋_GB2312" w:eastAsia="仿宋_GB2312" w:cs="仿宋_GB2312"/>
          <w:sz w:val="28"/>
          <w:szCs w:val="28"/>
          <w:highlight w:val="none"/>
          <w:lang w:eastAsia="zh-CN"/>
        </w:rPr>
        <w:t>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万元（大写：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。自本合同签订之日起</w:t>
      </w:r>
      <w:r>
        <w:rPr>
          <w:rFonts w:hint="eastAsia" w:ascii="仿宋_GB2312" w:hAnsi="仿宋_GB2312" w:eastAsia="仿宋_GB2312" w:cs="仿宋_GB2312"/>
          <w:sz w:val="28"/>
          <w:szCs w:val="28"/>
          <w:highlight w:val="none"/>
          <w:lang w:val="en-US" w:eastAsia="zh-CN"/>
        </w:rPr>
        <w:t>5日内，甲方支付乙方基本代理费的50%，剩余50%自二审判决结果送达之日起10日内完成支付。</w:t>
      </w:r>
    </w:p>
    <w:p>
      <w:pPr>
        <w:spacing w:line="52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注：基本代理费包含乙方律师团队基本服务费、差旅费、食宿费及其他杂费（不含本合同“第五条 代支费用”）。</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2、风险代理</w:t>
      </w:r>
      <w:r>
        <w:rPr>
          <w:rFonts w:hint="eastAsia" w:ascii="仿宋_GB2312" w:hAnsi="仿宋_GB2312" w:eastAsia="仿宋_GB2312" w:cs="仿宋_GB2312"/>
          <w:sz w:val="28"/>
          <w:szCs w:val="28"/>
          <w:highlight w:val="none"/>
        </w:rPr>
        <w:t>费用</w:t>
      </w:r>
      <w:r>
        <w:rPr>
          <w:rFonts w:hint="eastAsia" w:ascii="仿宋_GB2312" w:hAnsi="仿宋_GB2312" w:eastAsia="仿宋_GB2312" w:cs="仿宋_GB2312"/>
          <w:sz w:val="28"/>
          <w:szCs w:val="28"/>
          <w:highlight w:val="none"/>
          <w:lang w:eastAsia="zh-CN"/>
        </w:rPr>
        <w:t>：按照</w:t>
      </w:r>
      <w:r>
        <w:rPr>
          <w:rFonts w:hint="eastAsia" w:ascii="仿宋_GB2312" w:hAnsi="仿宋_GB2312" w:eastAsia="仿宋_GB2312" w:cs="仿宋_GB2312"/>
          <w:sz w:val="28"/>
          <w:szCs w:val="28"/>
          <w:highlight w:val="none"/>
          <w:lang w:val="en-US" w:eastAsia="zh-CN"/>
        </w:rPr>
        <w:t>案件二审判决金额的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不含原判决金额</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u w:val="none"/>
          <w:lang w:val="en-US" w:eastAsia="zh-CN"/>
        </w:rPr>
        <w:t>计算，若基本代理费与风险代理费合计金额不超过10万元，风险代理费按实际情况支付；若超过10万元，甲方按10万元扣减基本代理费后的余额支付乙方风险代理费，此费用</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eastAsia="zh-CN"/>
        </w:rPr>
        <w:t>二审判决结果送达之日起</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工作日</w:t>
      </w:r>
      <w:r>
        <w:rPr>
          <w:rFonts w:hint="eastAsia" w:ascii="仿宋_GB2312" w:hAnsi="仿宋_GB2312" w:eastAsia="仿宋_GB2312" w:cs="仿宋_GB2312"/>
          <w:sz w:val="28"/>
          <w:szCs w:val="28"/>
          <w:highlight w:val="none"/>
        </w:rPr>
        <w:t>内</w:t>
      </w:r>
      <w:r>
        <w:rPr>
          <w:rFonts w:hint="eastAsia" w:ascii="仿宋_GB2312" w:hAnsi="仿宋_GB2312" w:eastAsia="仿宋_GB2312" w:cs="仿宋_GB2312"/>
          <w:sz w:val="28"/>
          <w:szCs w:val="28"/>
          <w:highlight w:val="none"/>
          <w:lang w:eastAsia="zh-CN"/>
        </w:rPr>
        <w:t>完成</w:t>
      </w:r>
      <w:r>
        <w:rPr>
          <w:rFonts w:hint="eastAsia" w:ascii="仿宋_GB2312" w:hAnsi="仿宋_GB2312" w:eastAsia="仿宋_GB2312" w:cs="仿宋_GB2312"/>
          <w:sz w:val="28"/>
          <w:szCs w:val="28"/>
          <w:highlight w:val="none"/>
        </w:rPr>
        <w:t>支付。</w:t>
      </w:r>
    </w:p>
    <w:p>
      <w:pPr>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highlight w:val="none"/>
          <w:lang w:val="en-US" w:eastAsia="zh-CN"/>
        </w:rPr>
        <w:t>甲方支付上述款项前乙方应提供相应增值税专用发票。</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乙方开设账户的相关信息为：</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　明示告知　</w:t>
      </w:r>
      <w:r>
        <w:rPr>
          <w:rFonts w:hint="eastAsia" w:ascii="仿宋_GB2312" w:hAnsi="仿宋_GB2312" w:eastAsia="仿宋_GB2312" w:cs="仿宋_GB2312"/>
          <w:sz w:val="28"/>
          <w:szCs w:val="28"/>
        </w:rPr>
        <w:t>甲方确认其已知并理解以下事项：</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1、理解乙方提供的《风险提示书》，了解到可能出现的各种仲裁或诉讼风险。</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2、乙方和律师（以下简称乙方律师）向甲方所作的案情分析是依据甲方提供的现有材料结合律师的专业知识和经验作出的个人判断，仅代表律师本人观点，并不代表裁判机构对本案的最终裁判结果。</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3、乙方实行统一收案、收费，甲方应将合同约定的律师服务费交至乙方会计或汇至乙方账户，并保管好相关票据。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应如实陈述案情并提供相关的证据或线索，以便乙方提供高效优质的法律服务。甲方提供的证据原件由甲方自行保管并在开庭时提交，如因特殊原因需要代为保管，要和乙方律师办理证据原件的交接手续。</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5、诉讼仲裁等请求事项是人民法院等裁判机构收取诉讼仲裁费和乙方收取律师服务费的根据。缺少证据支持的请求事项将得不到裁判机构的支持，因该不当诉讼所支出的费用将由甲方自行负担。</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6、乙方律师有权根据法律要求和职业道德的标准，选择完成甲方委托事项的具体办案方法。</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7、甲方不得向乙方律师提供假证伪证，亦不得要求律师做假证伪证，更不得要求或指使律师贿赂裁判机构的工作人员。乙方律师取证和办案的进程受到侦查、检察及其他裁判机构及相关当事人的制约。</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8、甲方作为委托人应签署《授权委托书》一式二份。在选择“委托权限”时应慎重考虑是否授予律师我国民事诉讼法规定的“特别授权”。</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如甲方联系地址或电子邮箱发生变更，必须及时书面通知乙方。乙方按照本合同约定的联系地址或电子邮箱转交、邮寄、发送代收的法律文书，或送达其他文书、告知相关事项的，相关文书被签收或电子数据被接收，视为乙方已送达；相关文书如被退回或以甲方电子邮箱为目标邮箱投递电子数据不成功，投递三日后即视为乙方已送达。生效法律文书，申请执行的期限为二年。</w:t>
      </w:r>
    </w:p>
    <w:p>
      <w:pPr>
        <w:tabs>
          <w:tab w:val="left" w:pos="540"/>
        </w:tabs>
        <w:spacing w:line="520" w:lineRule="exact"/>
        <w:ind w:firstLine="500" w:firstLineChars="17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第五条　代支费用　</w:t>
      </w:r>
      <w:r>
        <w:rPr>
          <w:rFonts w:hint="eastAsia" w:ascii="仿宋_GB2312" w:hAnsi="仿宋_GB2312" w:eastAsia="仿宋_GB2312" w:cs="仿宋_GB2312"/>
          <w:sz w:val="28"/>
          <w:szCs w:val="28"/>
        </w:rPr>
        <w:t>下列与本事务有关的费用开支由甲方负担，且未包含在本合同第五条的律师服务费之中：代支间接费用（包括但不限于转委托审计、鉴定费，公证费，查档费，其它用于收集证据的费用）。</w:t>
      </w:r>
    </w:p>
    <w:p>
      <w:pPr>
        <w:tabs>
          <w:tab w:val="left" w:pos="540"/>
        </w:tabs>
        <w:spacing w:line="520" w:lineRule="exact"/>
        <w:ind w:firstLine="48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代支间接费用，实际发生前由乙方律师通知甲方，在实际发生时或双方约定的期限内由甲方支付。</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第六条　乙方发票　</w:t>
      </w:r>
      <w:r>
        <w:rPr>
          <w:rFonts w:hint="eastAsia" w:ascii="仿宋_GB2312" w:hAnsi="仿宋_GB2312" w:eastAsia="仿宋_GB2312" w:cs="仿宋_GB2312"/>
          <w:sz w:val="28"/>
          <w:szCs w:val="28"/>
        </w:rPr>
        <w:t>属于律师服务费的，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应向</w:t>
      </w:r>
      <w:r>
        <w:rPr>
          <w:rFonts w:hint="eastAsia" w:ascii="仿宋_GB2312" w:hAnsi="仿宋_GB2312" w:eastAsia="仿宋_GB2312" w:cs="仿宋_GB2312"/>
          <w:sz w:val="28"/>
          <w:szCs w:val="28"/>
          <w:lang w:val="en-US" w:eastAsia="zh-CN"/>
        </w:rPr>
        <w:t>甲方提供</w:t>
      </w:r>
      <w:r>
        <w:rPr>
          <w:rFonts w:hint="eastAsia" w:ascii="仿宋_GB2312" w:hAnsi="仿宋_GB2312" w:eastAsia="仿宋_GB2312" w:cs="仿宋_GB2312"/>
          <w:sz w:val="28"/>
          <w:szCs w:val="28"/>
        </w:rPr>
        <w:t>正式增值税专用发票。</w:t>
      </w:r>
    </w:p>
    <w:p>
      <w:pPr>
        <w:tabs>
          <w:tab w:val="left" w:pos="540"/>
        </w:tabs>
        <w:spacing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第七条　乙方的其他义务　</w:t>
      </w:r>
      <w:r>
        <w:rPr>
          <w:rFonts w:hint="eastAsia" w:ascii="仿宋_GB2312" w:hAnsi="仿宋_GB2312" w:eastAsia="仿宋_GB2312" w:cs="仿宋_GB2312"/>
          <w:sz w:val="28"/>
          <w:szCs w:val="28"/>
        </w:rPr>
        <w:t>遵守职业道德和执业纪律；勤勉尽职，依法维护甲方合法的最大利益；及时向甲方报告本事务的进展情况；无权超越甲方授权行事。若确有需要，应由甲方另行给予明确授权；无权在本合同约定费用以外再要求客户支付任何其他款项；乙方律师联系信息发生变更，应当及时通知甲方；对甲方负有保密义务。</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甲方的其他义务　</w:t>
      </w:r>
      <w:r>
        <w:rPr>
          <w:rFonts w:hint="eastAsia" w:ascii="仿宋_GB2312" w:hAnsi="仿宋_GB2312" w:eastAsia="仿宋_GB2312" w:cs="仿宋_GB2312"/>
          <w:sz w:val="28"/>
          <w:szCs w:val="28"/>
        </w:rPr>
        <w:t>与乙方诚实合作，如实提供与本事务有关的资料证据，如实陈述与本事务有关的情况；与本事务有关的情况和事实发生变化的，应及时告知乙方；如变更联系电话和手机，应当及时书面通知乙方律师；按照约定支付费用；提出的要求不应与律师职业道德、执业纪律相冲突。</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保密　</w:t>
      </w:r>
      <w:r>
        <w:rPr>
          <w:rFonts w:hint="eastAsia" w:ascii="仿宋_GB2312" w:hAnsi="仿宋_GB2312" w:eastAsia="仿宋_GB2312" w:cs="仿宋_GB2312"/>
          <w:sz w:val="28"/>
          <w:szCs w:val="28"/>
        </w:rPr>
        <w:t>乙方对于甲方的商业秘密或个人隐私，应当保守秘密，在未征得甲方同意的情况下，不得向第三方泄露，但法定或约定应向司法</w:t>
      </w:r>
      <w:r>
        <w:rPr>
          <w:rFonts w:hint="eastAsia" w:ascii="仿宋_GB2312" w:hAnsi="仿宋_GB2312" w:eastAsia="仿宋_GB2312" w:cs="仿宋_GB2312"/>
          <w:spacing w:val="-6"/>
          <w:sz w:val="28"/>
          <w:szCs w:val="28"/>
        </w:rPr>
        <w:t>机关或仲裁机构提供的除外。客户有特殊保密要求的，应另行签订保密协议。</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利益冲突　</w:t>
      </w:r>
      <w:r>
        <w:rPr>
          <w:rFonts w:hint="eastAsia" w:ascii="仿宋_GB2312" w:hAnsi="仿宋_GB2312" w:eastAsia="仿宋_GB2312" w:cs="仿宋_GB2312"/>
          <w:sz w:val="28"/>
          <w:szCs w:val="28"/>
        </w:rPr>
        <w:t>乙方应审查原有且正在提供服务的委托人是否与甲方存在利益冲突；如存在利益冲突，甲方有权且应当选择继续签订或履行合同、改变委托权限或解除合同。但因甲方原因导致乙方在接受委托后才发现利益冲突的，视为乙方对此无过错。</w:t>
      </w:r>
    </w:p>
    <w:p>
      <w:pPr>
        <w:tabs>
          <w:tab w:val="left" w:pos="540"/>
        </w:tabs>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第十一条　合同解除和终止　</w:t>
      </w:r>
      <w:r>
        <w:rPr>
          <w:rFonts w:hint="eastAsia" w:ascii="仿宋_GB2312" w:hAnsi="仿宋_GB2312" w:eastAsia="仿宋_GB2312" w:cs="仿宋_GB2312"/>
          <w:sz w:val="28"/>
          <w:szCs w:val="28"/>
        </w:rPr>
        <w:t>甲方有权解除合同，乙方一经收到解除通知即应停止提供法律服务。如甲方未按照协议约定支付律师服务费或其他费用且延期超过十日的，或甲方要求达到的目标有违律师职业道德和执业纪律的，或乙方在受托处理事务过程中发现甲方有故意隐瞒事实或虚假作证等妨碍乙方依法正常完成受托事务的，乙方有权中（终）止提供法律服务。</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第十二条　其他约定　</w:t>
      </w:r>
      <w:r>
        <w:rPr>
          <w:rFonts w:hint="eastAsia" w:ascii="仿宋_GB2312" w:hAnsi="仿宋_GB2312" w:eastAsia="仿宋_GB2312" w:cs="仿宋_GB2312"/>
          <w:sz w:val="28"/>
          <w:szCs w:val="28"/>
        </w:rPr>
        <w:t>乙方律师向甲方提供的分析判断或咨询意见，均不可理解为乙方律师就受托事务的结果作出了成功或胜诉的保证。</w:t>
      </w:r>
    </w:p>
    <w:p>
      <w:pPr>
        <w:tabs>
          <w:tab w:val="left" w:pos="540"/>
        </w:tabs>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甲乙双方之间在合同的签订、履行发生争议的，应进行协商，协商不成则向黄山市仲裁委员会提起仲裁。</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第十三条　合同生效及份数　</w:t>
      </w:r>
      <w:r>
        <w:rPr>
          <w:rFonts w:hint="eastAsia" w:ascii="仿宋_GB2312" w:hAnsi="仿宋_GB2312" w:eastAsia="仿宋_GB2312" w:cs="仿宋_GB2312"/>
          <w:sz w:val="28"/>
          <w:szCs w:val="28"/>
        </w:rPr>
        <w:t>本合同经委托人签名（章）和受托人签章后生效。本合同一式伍份，甲、乙双方各执贰份，乙方主办律师执一份入卷，效力相同。</w:t>
      </w:r>
    </w:p>
    <w:p>
      <w:pPr>
        <w:tabs>
          <w:tab w:val="left" w:pos="540"/>
        </w:tabs>
        <w:spacing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委托人：　                     受托人：</w:t>
      </w:r>
    </w:p>
    <w:p>
      <w:pPr>
        <w:tabs>
          <w:tab w:val="left" w:pos="540"/>
        </w:tabs>
        <w:spacing w:line="520" w:lineRule="exact"/>
        <w:ind w:firstLine="560" w:firstLineChars="200"/>
        <w:rPr>
          <w:rFonts w:hint="eastAsia" w:ascii="仿宋_GB2312" w:hAnsi="仿宋_GB2312" w:eastAsia="仿宋_GB2312" w:cs="仿宋_GB2312"/>
          <w:sz w:val="28"/>
          <w:szCs w:val="28"/>
        </w:rPr>
      </w:pPr>
    </w:p>
    <w:p>
      <w:pPr>
        <w:tabs>
          <w:tab w:val="left" w:pos="540"/>
        </w:tabs>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代表（签字）：</w:t>
      </w:r>
      <w:r>
        <w:rPr>
          <w:rFonts w:hint="eastAsia" w:ascii="仿宋_GB2312" w:hAnsi="仿宋_GB2312" w:eastAsia="仿宋_GB2312" w:cs="仿宋_GB2312"/>
          <w:b/>
          <w:sz w:val="28"/>
          <w:szCs w:val="28"/>
        </w:rPr>
        <w:t>　　　　　　　  　</w:t>
      </w:r>
      <w:r>
        <w:rPr>
          <w:rFonts w:hint="eastAsia" w:ascii="仿宋_GB2312" w:hAnsi="仿宋_GB2312" w:eastAsia="仿宋_GB2312" w:cs="仿宋_GB2312"/>
          <w:sz w:val="28"/>
          <w:szCs w:val="28"/>
        </w:rPr>
        <w:t xml:space="preserve">主办律师（签字）：   </w:t>
      </w:r>
    </w:p>
    <w:p>
      <w:pPr>
        <w:tabs>
          <w:tab w:val="left" w:pos="540"/>
        </w:tabs>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tabs>
          <w:tab w:val="left" w:pos="540"/>
        </w:tabs>
        <w:spacing w:line="520" w:lineRule="exact"/>
        <w:ind w:firstLine="1400" w:firstLineChars="500"/>
        <w:rPr>
          <w:rFonts w:hint="eastAsia" w:ascii="方正小标宋简体" w:hAnsi="方正小标宋简体" w:eastAsia="方正小标宋简体" w:cs="方正小标宋简体"/>
          <w:b w:val="0"/>
          <w:bCs w:val="0"/>
          <w:kern w:val="44"/>
          <w:sz w:val="40"/>
          <w:szCs w:val="40"/>
        </w:rPr>
      </w:pPr>
      <w:r>
        <w:rPr>
          <w:rFonts w:hint="eastAsia" w:ascii="仿宋_GB2312" w:hAnsi="仿宋_GB2312" w:eastAsia="仿宋_GB2312" w:cs="仿宋_GB2312"/>
          <w:sz w:val="28"/>
          <w:szCs w:val="28"/>
        </w:rPr>
        <w:t xml:space="preserve">　年　  月  　日  　               年  　月  　日  </w:t>
      </w:r>
      <w:bookmarkStart w:id="86" w:name="_Toc2089"/>
      <w:bookmarkStart w:id="87" w:name="_Toc5802"/>
    </w:p>
    <w:p>
      <w:pPr>
        <w:widowControl/>
        <w:topLinePunct/>
        <w:adjustRightInd w:val="0"/>
        <w:snapToGrid w:val="0"/>
        <w:spacing w:beforeLines="100" w:line="360" w:lineRule="auto"/>
        <w:jc w:val="center"/>
        <w:outlineLvl w:val="0"/>
        <w:rPr>
          <w:rFonts w:hint="eastAsia" w:ascii="方正小标宋简体" w:hAnsi="方正小标宋简体" w:eastAsia="方正小标宋简体" w:cs="方正小标宋简体"/>
          <w:b w:val="0"/>
          <w:bCs w:val="0"/>
          <w:kern w:val="44"/>
          <w:sz w:val="40"/>
          <w:szCs w:val="40"/>
        </w:rPr>
      </w:pPr>
      <w:r>
        <w:rPr>
          <w:rFonts w:hint="eastAsia" w:ascii="方正小标宋简体" w:hAnsi="方正小标宋简体" w:eastAsia="方正小标宋简体" w:cs="方正小标宋简体"/>
          <w:b w:val="0"/>
          <w:bCs w:val="0"/>
          <w:kern w:val="44"/>
          <w:sz w:val="40"/>
          <w:szCs w:val="40"/>
        </w:rPr>
        <w:t>第五章 响应文件格式</w:t>
      </w:r>
      <w:bookmarkEnd w:id="86"/>
      <w:bookmarkEnd w:id="87"/>
    </w:p>
    <w:p>
      <w:pPr>
        <w:spacing w:line="360" w:lineRule="auto"/>
        <w:jc w:val="right"/>
        <w:outlineLvl w:val="0"/>
        <w:rPr>
          <w:rFonts w:ascii="黑体" w:hAnsi="黑体" w:eastAsia="黑体"/>
          <w:sz w:val="44"/>
          <w:szCs w:val="44"/>
        </w:rPr>
      </w:pPr>
      <w:bookmarkStart w:id="88" w:name="_Toc22500"/>
      <w:bookmarkStart w:id="89" w:name="_Toc318"/>
      <w:r>
        <w:rPr>
          <w:rFonts w:hint="eastAsia" w:ascii="黑体" w:hAnsi="黑体" w:eastAsia="黑体"/>
          <w:sz w:val="44"/>
          <w:szCs w:val="44"/>
          <w:u w:val="single"/>
        </w:rPr>
        <w:t>正/副</w:t>
      </w:r>
      <w:r>
        <w:rPr>
          <w:rFonts w:hint="eastAsia" w:ascii="黑体" w:hAnsi="黑体" w:eastAsia="黑体"/>
          <w:sz w:val="44"/>
          <w:szCs w:val="44"/>
        </w:rPr>
        <w:t>本</w:t>
      </w:r>
      <w:bookmarkEnd w:id="88"/>
      <w:bookmarkEnd w:id="89"/>
    </w:p>
    <w:p>
      <w:pPr>
        <w:adjustRightInd w:val="0"/>
        <w:snapToGrid w:val="0"/>
        <w:spacing w:beforeLines="20" w:afterLines="20" w:line="360" w:lineRule="auto"/>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黄山屏水公司诉讼代理律师服务项目</w:t>
      </w:r>
    </w:p>
    <w:p>
      <w:pPr>
        <w:pStyle w:val="8"/>
        <w:snapToGrid w:val="0"/>
        <w:spacing w:line="360" w:lineRule="auto"/>
        <w:jc w:val="center"/>
        <w:rPr>
          <w:rFonts w:hint="eastAsia" w:ascii="方正小标宋简体" w:hAnsi="方正小标宋简体" w:eastAsia="方正小标宋简体" w:cs="方正小标宋简体"/>
          <w:b w:val="0"/>
          <w:bCs/>
          <w:sz w:val="84"/>
          <w:szCs w:val="84"/>
        </w:rPr>
      </w:pPr>
    </w:p>
    <w:p>
      <w:pPr>
        <w:pStyle w:val="8"/>
        <w:snapToGrid w:val="0"/>
        <w:spacing w:line="360" w:lineRule="auto"/>
        <w:jc w:val="center"/>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响  应  文  件</w:t>
      </w: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40" w:lineRule="exact"/>
        <w:ind w:firstLine="1124" w:firstLineChars="400"/>
        <w:jc w:val="both"/>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黄山屏水公司诉讼代理律师服务项目</w:t>
      </w:r>
      <w:r>
        <w:rPr>
          <w:rFonts w:hint="eastAsia" w:ascii="仿宋_GB2312" w:hAnsi="仿宋_GB2312" w:eastAsia="仿宋_GB2312" w:cs="仿宋_GB2312"/>
          <w:b/>
          <w:sz w:val="28"/>
          <w:szCs w:val="28"/>
          <w:u w:val="single"/>
          <w:lang w:val="en-US" w:eastAsia="zh-CN"/>
        </w:rPr>
        <w:t xml:space="preserve">  </w:t>
      </w:r>
    </w:p>
    <w:p>
      <w:pPr>
        <w:pStyle w:val="10"/>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供 应 商：</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 xml:space="preserve">        （盖公章）</w:t>
      </w:r>
    </w:p>
    <w:p>
      <w:pPr>
        <w:pStyle w:val="10"/>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法定代表人或其委托代理人：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（签字或盖章）</w:t>
      </w:r>
    </w:p>
    <w:p>
      <w:pPr>
        <w:spacing w:line="360" w:lineRule="auto"/>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日  期：</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年</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月</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日</w:t>
      </w:r>
    </w:p>
    <w:p>
      <w:pPr>
        <w:spacing w:line="360" w:lineRule="auto"/>
        <w:rPr>
          <w:rFonts w:ascii="宋体" w:hAnsi="宋体"/>
          <w:b/>
          <w:sz w:val="24"/>
        </w:rPr>
      </w:pPr>
      <w:r>
        <w:rPr>
          <w:rFonts w:ascii="宋体" w:hAnsi="宋体"/>
          <w:b/>
          <w:sz w:val="24"/>
        </w:rPr>
        <w:br w:type="page"/>
      </w:r>
    </w:p>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目  录</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(1）法定代表人身份证明书</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(2）法定代表人授权委托书</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(3）报价函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(4）资格证明文件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(5）拟派律师团队情况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(6）类似业绩</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(7）应诉方案</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(8）响应承诺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(9）评审办法中涉及的相关材料</w:t>
      </w:r>
    </w:p>
    <w:p>
      <w:pPr>
        <w:spacing w:line="360" w:lineRule="auto"/>
        <w:jc w:val="center"/>
        <w:rPr>
          <w:rFonts w:hint="eastAsia" w:ascii="仿宋_GB2312" w:hAnsi="仿宋_GB2312" w:eastAsia="仿宋_GB2312" w:cs="仿宋_GB2312"/>
          <w:bCs/>
          <w:sz w:val="28"/>
          <w:szCs w:val="28"/>
        </w:rPr>
      </w:pPr>
    </w:p>
    <w:p>
      <w:pPr>
        <w:spacing w:line="360" w:lineRule="auto"/>
        <w:ind w:firstLine="560" w:firstLineChars="200"/>
        <w:rPr>
          <w:rFonts w:hint="eastAsia" w:ascii="仿宋_GB2312" w:hAnsi="仿宋_GB2312" w:eastAsia="仿宋_GB2312" w:cs="仿宋_GB2312"/>
          <w:bCs/>
          <w:sz w:val="28"/>
          <w:szCs w:val="28"/>
        </w:rPr>
      </w:pPr>
    </w:p>
    <w:p>
      <w:pPr>
        <w:spacing w:line="360" w:lineRule="auto"/>
        <w:ind w:firstLine="560" w:firstLineChars="200"/>
        <w:rPr>
          <w:rFonts w:hint="eastAsia" w:ascii="仿宋_GB2312" w:hAnsi="仿宋_GB2312" w:eastAsia="仿宋_GB2312" w:cs="仿宋_GB2312"/>
          <w:bCs/>
          <w:sz w:val="28"/>
          <w:szCs w:val="28"/>
        </w:rPr>
      </w:pPr>
    </w:p>
    <w:p>
      <w:pPr>
        <w:spacing w:line="360" w:lineRule="auto"/>
        <w:ind w:firstLine="560" w:firstLineChars="200"/>
        <w:rPr>
          <w:rFonts w:hint="eastAsia" w:ascii="仿宋_GB2312" w:hAnsi="仿宋_GB2312" w:eastAsia="仿宋_GB2312" w:cs="仿宋_GB2312"/>
          <w:bCs/>
          <w:sz w:val="28"/>
          <w:szCs w:val="28"/>
        </w:rPr>
      </w:pPr>
    </w:p>
    <w:p>
      <w:pPr>
        <w:snapToGrid w:val="0"/>
        <w:spacing w:line="360" w:lineRule="auto"/>
        <w:ind w:firstLine="504" w:firstLineChars="18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p>
      <w:pPr>
        <w:snapToGri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一、法定代表人身份证明书</w:t>
      </w:r>
    </w:p>
    <w:p>
      <w:pPr>
        <w:snapToGrid w:val="0"/>
        <w:spacing w:line="360" w:lineRule="auto"/>
        <w:ind w:firstLine="1400" w:firstLineChars="500"/>
        <w:jc w:val="left"/>
        <w:rPr>
          <w:rFonts w:hint="eastAsia" w:ascii="仿宋_GB2312" w:hAnsi="仿宋_GB2312" w:eastAsia="仿宋_GB2312" w:cs="仿宋_GB2312"/>
          <w:sz w:val="28"/>
          <w:szCs w:val="28"/>
        </w:rPr>
      </w:pP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pPr>
        <w:snapToGrid w:val="0"/>
        <w:spacing w:line="360" w:lineRule="auto"/>
        <w:ind w:left="1897" w:leftChars="570" w:hanging="700" w:hanging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p>
    <w:p>
      <w:pPr>
        <w:snapToGrid w:val="0"/>
        <w:spacing w:line="360" w:lineRule="auto"/>
        <w:ind w:firstLine="1120" w:firstLineChars="400"/>
        <w:jc w:val="left"/>
        <w:rPr>
          <w:rFonts w:hint="eastAsia" w:ascii="仿宋_GB2312" w:hAnsi="仿宋_GB2312" w:eastAsia="仿宋_GB2312" w:cs="仿宋_GB2312"/>
          <w:sz w:val="28"/>
          <w:szCs w:val="28"/>
        </w:rPr>
      </w:pPr>
    </w:p>
    <w:p>
      <w:pPr>
        <w:snapToGrid w:val="0"/>
        <w:spacing w:line="360" w:lineRule="auto"/>
        <w:ind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snapToGrid w:val="0"/>
        <w:spacing w:line="360" w:lineRule="auto"/>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60" w:firstLineChars="200"/>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注：本文件后附法定代表人身份证正反面复印件。</w:t>
      </w:r>
    </w:p>
    <w:p>
      <w:pPr>
        <w:snapToGrid w:val="0"/>
        <w:spacing w:line="360" w:lineRule="auto"/>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60" w:firstLineChars="200"/>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320" w:firstLineChars="1900"/>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4480" w:firstLineChars="16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（盖公章）</w:t>
      </w:r>
    </w:p>
    <w:p>
      <w:pPr>
        <w:tabs>
          <w:tab w:val="left" w:pos="720"/>
          <w:tab w:val="left" w:pos="900"/>
        </w:tabs>
        <w:snapToGrid w:val="0"/>
        <w:spacing w:line="360" w:lineRule="auto"/>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napToGrid w:val="0"/>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二、法定代表人授权书</w:t>
      </w:r>
    </w:p>
    <w:p>
      <w:pPr>
        <w:pStyle w:val="11"/>
        <w:spacing w:after="0" w:line="360" w:lineRule="auto"/>
        <w:ind w:left="0" w:leftChars="0" w:firstLine="560" w:firstLineChars="200"/>
        <w:rPr>
          <w:rFonts w:hint="eastAsia" w:ascii="仿宋_GB2312" w:hAnsi="仿宋_GB2312" w:eastAsia="仿宋_GB2312" w:cs="仿宋_GB2312"/>
          <w:sz w:val="28"/>
          <w:szCs w:val="28"/>
        </w:rPr>
      </w:pPr>
    </w:p>
    <w:p>
      <w:pPr>
        <w:pStyle w:val="11"/>
        <w:spacing w:after="0" w:line="360" w:lineRule="auto"/>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本授权委托书声明：我（姓名）系 </w:t>
      </w:r>
      <w:r>
        <w:rPr>
          <w:rFonts w:hint="eastAsia" w:ascii="仿宋_GB2312" w:hAnsi="仿宋_GB2312" w:eastAsia="仿宋_GB2312" w:cs="仿宋_GB2312"/>
          <w:sz w:val="28"/>
          <w:szCs w:val="28"/>
          <w:u w:val="single"/>
        </w:rPr>
        <w:t>（供 应 商 名 称）</w:t>
      </w:r>
      <w:r>
        <w:rPr>
          <w:rFonts w:hint="eastAsia" w:ascii="仿宋_GB2312" w:hAnsi="仿宋_GB2312" w:eastAsia="仿宋_GB2312" w:cs="仿宋_GB2312"/>
          <w:sz w:val="28"/>
          <w:szCs w:val="28"/>
        </w:rPr>
        <w:t xml:space="preserve">的法定代表人，现授权委托 </w:t>
      </w:r>
      <w:r>
        <w:rPr>
          <w:rFonts w:hint="eastAsia" w:ascii="仿宋_GB2312" w:hAnsi="仿宋_GB2312" w:eastAsia="仿宋_GB2312" w:cs="仿宋_GB2312"/>
          <w:sz w:val="28"/>
          <w:szCs w:val="28"/>
          <w:u w:val="single"/>
        </w:rPr>
        <w:t xml:space="preserve">    （单位名称）    </w:t>
      </w:r>
      <w:r>
        <w:rPr>
          <w:rFonts w:hint="eastAsia" w:ascii="仿宋_GB2312" w:hAnsi="仿宋_GB2312" w:eastAsia="仿宋_GB2312" w:cs="仿宋_GB2312"/>
          <w:sz w:val="28"/>
          <w:szCs w:val="28"/>
        </w:rPr>
        <w:t xml:space="preserve"> 的 </w:t>
      </w:r>
      <w:r>
        <w:rPr>
          <w:rFonts w:hint="eastAsia" w:ascii="仿宋_GB2312" w:hAnsi="仿宋_GB2312" w:eastAsia="仿宋_GB2312" w:cs="仿宋_GB2312"/>
          <w:sz w:val="28"/>
          <w:szCs w:val="28"/>
          <w:u w:val="single"/>
        </w:rPr>
        <w:t xml:space="preserve">   （姓名） </w:t>
      </w:r>
      <w:r>
        <w:rPr>
          <w:rFonts w:hint="eastAsia" w:ascii="仿宋_GB2312" w:hAnsi="仿宋_GB2312" w:eastAsia="仿宋_GB2312" w:cs="仿宋_GB2312"/>
          <w:sz w:val="28"/>
          <w:szCs w:val="28"/>
        </w:rPr>
        <w:t>为我公司的合法代理人，就</w:t>
      </w:r>
      <w:r>
        <w:rPr>
          <w:rFonts w:hint="eastAsia" w:ascii="仿宋_GB2312" w:hAnsi="仿宋_GB2312" w:eastAsia="仿宋_GB2312" w:cs="仿宋_GB2312"/>
          <w:sz w:val="28"/>
          <w:szCs w:val="28"/>
          <w:u w:val="single"/>
        </w:rPr>
        <w:t xml:space="preserve">（项目名称）    </w:t>
      </w:r>
      <w:r>
        <w:rPr>
          <w:rFonts w:hint="eastAsia" w:ascii="仿宋_GB2312" w:hAnsi="仿宋_GB2312" w:eastAsia="仿宋_GB2312" w:cs="仿宋_GB2312"/>
          <w:sz w:val="28"/>
          <w:szCs w:val="28"/>
        </w:rPr>
        <w:t>的采购响应，以本公司的名义签署响应文件，解释响应文件，进行谈判、签署合同和处理与之有关的一切事宜。</w:t>
      </w:r>
    </w:p>
    <w:p>
      <w:pPr>
        <w:pStyle w:val="9"/>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代理人无转委托权，特此委托。</w:t>
      </w:r>
    </w:p>
    <w:p>
      <w:pPr>
        <w:spacing w:line="360" w:lineRule="auto"/>
        <w:ind w:left="1260"/>
        <w:rPr>
          <w:rFonts w:hint="eastAsia" w:ascii="仿宋_GB2312" w:hAnsi="仿宋_GB2312" w:eastAsia="仿宋_GB2312" w:cs="仿宋_GB2312"/>
          <w:sz w:val="28"/>
          <w:szCs w:val="28"/>
        </w:rPr>
      </w:pPr>
    </w:p>
    <w:p>
      <w:pPr>
        <w:spacing w:line="360" w:lineRule="auto"/>
        <w:ind w:left="12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注：本文件后附代理人身份证正反面复印件</w:t>
      </w:r>
    </w:p>
    <w:p>
      <w:pPr>
        <w:spacing w:line="360" w:lineRule="auto"/>
        <w:ind w:firstLine="1400" w:firstLineChars="500"/>
        <w:rPr>
          <w:rFonts w:hint="eastAsia" w:ascii="仿宋_GB2312" w:hAnsi="仿宋_GB2312" w:eastAsia="仿宋_GB2312" w:cs="仿宋_GB2312"/>
          <w:sz w:val="28"/>
          <w:szCs w:val="28"/>
        </w:rPr>
      </w:pPr>
    </w:p>
    <w:p>
      <w:pPr>
        <w:spacing w:line="360" w:lineRule="auto"/>
        <w:ind w:firstLine="1400" w:firstLineChars="5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代  理  人：</w:t>
      </w:r>
      <w:r>
        <w:rPr>
          <w:rFonts w:hint="eastAsia" w:ascii="仿宋_GB2312" w:hAnsi="仿宋_GB2312" w:eastAsia="仿宋_GB2312" w:cs="仿宋_GB2312"/>
          <w:sz w:val="28"/>
          <w:szCs w:val="28"/>
          <w:u w:val="single"/>
        </w:rPr>
        <w:t xml:space="preserve">   （签字）   </w:t>
      </w:r>
      <w:r>
        <w:rPr>
          <w:rFonts w:hint="eastAsia" w:ascii="仿宋_GB2312" w:hAnsi="仿宋_GB2312" w:eastAsia="仿宋_GB2312" w:cs="仿宋_GB2312"/>
          <w:sz w:val="28"/>
          <w:szCs w:val="28"/>
        </w:rPr>
        <w:t>性别 ：年龄：_______</w:t>
      </w:r>
    </w:p>
    <w:p>
      <w:pPr>
        <w:spacing w:line="360" w:lineRule="auto"/>
        <w:ind w:left="2699"/>
        <w:rPr>
          <w:rFonts w:hint="eastAsia" w:ascii="仿宋_GB2312" w:hAnsi="仿宋_GB2312" w:eastAsia="仿宋_GB2312" w:cs="仿宋_GB2312"/>
          <w:sz w:val="28"/>
          <w:szCs w:val="28"/>
        </w:rPr>
      </w:pPr>
    </w:p>
    <w:p>
      <w:pPr>
        <w:spacing w:line="360" w:lineRule="auto"/>
        <w:ind w:left="1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lang w:val="en-US" w:eastAsia="zh-CN"/>
        </w:rPr>
        <w:t xml:space="preserve">                            </w:t>
      </w:r>
    </w:p>
    <w:p>
      <w:pPr>
        <w:spacing w:line="360" w:lineRule="auto"/>
        <w:ind w:left="2699"/>
        <w:rPr>
          <w:rFonts w:hint="eastAsia" w:ascii="仿宋_GB2312" w:hAnsi="仿宋_GB2312" w:eastAsia="仿宋_GB2312" w:cs="仿宋_GB2312"/>
          <w:sz w:val="28"/>
          <w:szCs w:val="28"/>
        </w:rPr>
      </w:pPr>
    </w:p>
    <w:p>
      <w:pPr>
        <w:spacing w:line="360" w:lineRule="auto"/>
        <w:ind w:left="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  应  商：</w:t>
      </w:r>
      <w:r>
        <w:rPr>
          <w:rFonts w:hint="eastAsia" w:ascii="仿宋_GB2312" w:hAnsi="仿宋_GB2312" w:eastAsia="仿宋_GB2312" w:cs="仿宋_GB2312"/>
          <w:sz w:val="28"/>
          <w:szCs w:val="28"/>
          <w:u w:val="single"/>
        </w:rPr>
        <w:t xml:space="preserve">                          （盖章）</w:t>
      </w:r>
    </w:p>
    <w:p>
      <w:pPr>
        <w:spacing w:line="360" w:lineRule="auto"/>
        <w:ind w:left="2699"/>
        <w:rPr>
          <w:rFonts w:hint="eastAsia" w:ascii="仿宋_GB2312" w:hAnsi="仿宋_GB2312" w:eastAsia="仿宋_GB2312" w:cs="仿宋_GB2312"/>
          <w:sz w:val="28"/>
          <w:szCs w:val="28"/>
        </w:rPr>
      </w:pPr>
    </w:p>
    <w:p>
      <w:pPr>
        <w:spacing w:line="360" w:lineRule="auto"/>
        <w:ind w:left="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（签字或盖章）</w:t>
      </w:r>
    </w:p>
    <w:p>
      <w:pPr>
        <w:spacing w:line="360" w:lineRule="auto"/>
        <w:ind w:left="2699"/>
        <w:rPr>
          <w:rFonts w:hint="eastAsia" w:ascii="仿宋_GB2312" w:hAnsi="仿宋_GB2312" w:eastAsia="仿宋_GB2312" w:cs="仿宋_GB2312"/>
          <w:sz w:val="28"/>
          <w:szCs w:val="28"/>
        </w:rPr>
      </w:pPr>
    </w:p>
    <w:p>
      <w:pPr>
        <w:spacing w:line="360" w:lineRule="auto"/>
        <w:ind w:left="2833" w:leftChars="1349" w:firstLine="2800" w:firstLineChars="1000"/>
        <w:rPr>
          <w:rFonts w:hint="eastAsia" w:ascii="仿宋_GB2312" w:hAnsi="仿宋_GB2312" w:eastAsia="仿宋_GB2312" w:cs="仿宋_GB2312"/>
          <w:sz w:val="28"/>
          <w:szCs w:val="28"/>
        </w:rPr>
      </w:pPr>
    </w:p>
    <w:p>
      <w:pPr>
        <w:spacing w:line="360" w:lineRule="auto"/>
        <w:ind w:firstLine="506" w:firstLineChars="180"/>
        <w:jc w:val="right"/>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           授权委托日期：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rPr>
          <w:rFonts w:hint="eastAsia" w:ascii="仿宋_GB2312" w:hAnsi="仿宋_GB2312" w:eastAsia="仿宋_GB2312" w:cs="仿宋_GB2312"/>
          <w:bCs/>
          <w:sz w:val="28"/>
          <w:szCs w:val="28"/>
        </w:rPr>
      </w:pPr>
    </w:p>
    <w:p>
      <w:pPr>
        <w:snapToGrid w:val="0"/>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三、报价函</w:t>
      </w:r>
    </w:p>
    <w:p>
      <w:pPr>
        <w:snapToGrid w:val="0"/>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{采购人名称}   </w:t>
      </w: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现就贵司发布的（项目名称）最终报价如下：</w:t>
      </w:r>
    </w:p>
    <w:tbl>
      <w:tblPr>
        <w:tblStyle w:val="23"/>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 目 名 称</w:t>
            </w:r>
          </w:p>
        </w:tc>
        <w:tc>
          <w:tcPr>
            <w:tcW w:w="76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firstLine="140" w:firstLineChars="50"/>
              <w:rPr>
                <w:rFonts w:hint="eastAsia" w:ascii="仿宋_GB2312" w:hAnsi="仿宋_GB2312" w:eastAsia="仿宋_GB2312" w:cs="仿宋_GB2312"/>
                <w:sz w:val="28"/>
                <w:szCs w:val="28"/>
                <w:u w:val="single"/>
              </w:rPr>
            </w:pPr>
          </w:p>
          <w:p>
            <w:pPr>
              <w:spacing w:line="540" w:lineRule="exact"/>
              <w:ind w:right="-670" w:firstLine="140" w:firstLineChars="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报价日期</w:t>
            </w:r>
          </w:p>
        </w:tc>
        <w:tc>
          <w:tcPr>
            <w:tcW w:w="7612" w:type="dxa"/>
            <w:tcBorders>
              <w:top w:val="nil"/>
              <w:left w:val="single" w:color="auto" w:sz="4" w:space="0"/>
              <w:bottom w:val="single" w:color="auto" w:sz="4" w:space="0"/>
              <w:right w:val="single" w:color="auto" w:sz="4" w:space="0"/>
            </w:tcBorders>
            <w:vAlign w:val="center"/>
          </w:tcPr>
          <w:p>
            <w:pPr>
              <w:widowControl/>
              <w:spacing w:line="5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最终报价</w:t>
            </w:r>
          </w:p>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基本代理费报价</w:t>
            </w:r>
            <w:r>
              <w:rPr>
                <w:rFonts w:hint="eastAsia" w:ascii="仿宋_GB2312" w:hAnsi="仿宋_GB2312" w:eastAsia="仿宋_GB2312" w:cs="仿宋_GB2312"/>
                <w:sz w:val="28"/>
                <w:szCs w:val="28"/>
              </w:rPr>
              <w:t>：</w:t>
            </w:r>
          </w:p>
          <w:p>
            <w:pPr>
              <w:spacing w:line="540" w:lineRule="exact"/>
              <w:ind w:right="-6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p>
          <w:p>
            <w:pPr>
              <w:spacing w:line="540" w:lineRule="exact"/>
              <w:ind w:right="-67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p>
          <w:p>
            <w:pPr>
              <w:spacing w:line="540" w:lineRule="exact"/>
              <w:ind w:right="-67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风险代理费</w:t>
            </w:r>
            <w:r>
              <w:rPr>
                <w:rFonts w:hint="eastAsia" w:ascii="仿宋_GB2312" w:hAnsi="仿宋_GB2312" w:eastAsia="仿宋_GB2312" w:cs="仿宋_GB2312"/>
                <w:sz w:val="28"/>
                <w:szCs w:val="28"/>
                <w:u w:val="single"/>
              </w:rPr>
              <w:t>报价：</w:t>
            </w:r>
          </w:p>
          <w:p>
            <w:pPr>
              <w:spacing w:line="540" w:lineRule="exact"/>
              <w:ind w:right="-67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lang w:val="en-US" w:eastAsia="zh-CN"/>
              </w:rPr>
              <w:t>案件二审判决金额的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val="en-US" w:eastAsia="zh-CN"/>
              </w:rPr>
              <w:t>%</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不含原判决金额</w:t>
            </w:r>
            <w:r>
              <w:rPr>
                <w:rFonts w:hint="eastAsia" w:ascii="宋体" w:hAnsi="宋体" w:cs="宋体"/>
                <w:sz w:val="28"/>
                <w:szCs w:val="28"/>
                <w:highlight w:val="none"/>
                <w:u w:val="none"/>
                <w:lang w:val="en-US" w:eastAsia="zh-CN"/>
              </w:rPr>
              <w:t>）。</w:t>
            </w:r>
          </w:p>
        </w:tc>
      </w:tr>
    </w:tbl>
    <w:p>
      <w:pPr>
        <w:spacing w:line="520" w:lineRule="exact"/>
        <w:ind w:firstLine="560" w:firstLineChars="2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pPr>
    </w:p>
    <w:p>
      <w:pPr>
        <w:snapToGrid w:val="0"/>
        <w:spacing w:line="360" w:lineRule="auto"/>
        <w:ind w:firstLine="4305"/>
        <w:rPr>
          <w:rFonts w:hint="eastAsia" w:ascii="仿宋_GB2312" w:hAnsi="仿宋_GB2312" w:eastAsia="仿宋_GB2312" w:cs="仿宋_GB2312"/>
          <w:sz w:val="28"/>
          <w:szCs w:val="28"/>
        </w:rPr>
      </w:pPr>
    </w:p>
    <w:p>
      <w:pPr>
        <w:snapToGrid w:val="0"/>
        <w:spacing w:line="360" w:lineRule="auto"/>
        <w:ind w:firstLine="43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投标人：（盖单位章）</w:t>
      </w:r>
    </w:p>
    <w:p>
      <w:pPr>
        <w:snapToGrid w:val="0"/>
        <w:spacing w:line="360" w:lineRule="auto"/>
        <w:ind w:firstLine="43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w:t>
      </w:r>
    </w:p>
    <w:p>
      <w:pPr>
        <w:snapToGrid w:val="0"/>
        <w:spacing w:line="360" w:lineRule="auto"/>
        <w:ind w:firstLine="430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pPr>
        <w:snapToGrid w:val="0"/>
        <w:spacing w:line="360" w:lineRule="auto"/>
        <w:ind w:firstLine="430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p>
    <w:p>
      <w:pPr>
        <w:snapToGrid w:val="0"/>
        <w:spacing w:line="360" w:lineRule="auto"/>
        <w:ind w:firstLine="504" w:firstLineChars="180"/>
        <w:jc w:val="righ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autoSpaceDE w:val="0"/>
        <w:autoSpaceDN w:val="0"/>
        <w:adjustRightInd w:val="0"/>
        <w:spacing w:line="360" w:lineRule="auto"/>
        <w:jc w:val="center"/>
        <w:rPr>
          <w:rFonts w:hint="eastAsia" w:ascii="仿宋_GB2312" w:hAnsi="仿宋_GB2312" w:eastAsia="仿宋_GB2312" w:cs="仿宋_GB2312"/>
          <w:b/>
          <w:bCs/>
          <w:sz w:val="28"/>
          <w:szCs w:val="28"/>
        </w:rPr>
      </w:pPr>
      <w:bookmarkStart w:id="90" w:name="_Toc55705179"/>
      <w:bookmarkStart w:id="91" w:name="_Toc54280353"/>
      <w:bookmarkStart w:id="92" w:name="_Toc54281205"/>
      <w:bookmarkStart w:id="93" w:name="_Toc54281631"/>
      <w:bookmarkStart w:id="94" w:name="_Toc54291535"/>
      <w:bookmarkStart w:id="95" w:name="_Toc54372666"/>
      <w:bookmarkStart w:id="96" w:name="_Toc54278970"/>
      <w:bookmarkStart w:id="97" w:name="_Toc54280779"/>
      <w:bookmarkStart w:id="98" w:name="_Toc55654551"/>
      <w:bookmarkStart w:id="99" w:name="_Toc55639404"/>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四、资格证明文件</w:t>
      </w:r>
    </w:p>
    <w:p>
      <w:pPr>
        <w:autoSpaceDE w:val="0"/>
        <w:autoSpaceDN w:val="0"/>
        <w:adjustRightIn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格式自拟，加盖公章。</w:t>
      </w: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五、拟派律师团队情况</w:t>
      </w:r>
    </w:p>
    <w:p>
      <w:pPr>
        <w:autoSpaceDE w:val="0"/>
        <w:autoSpaceDN w:val="0"/>
        <w:adjustRightIn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格式自拟。</w:t>
      </w: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3920" w:firstLineChars="1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　(盖章)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spacing w:line="360" w:lineRule="auto"/>
        <w:ind w:firstLine="280" w:firstLineChars="1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法人代表或委托代理人： (签字或盖章)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spacing w:line="360" w:lineRule="auto"/>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autoSpaceDE w:val="0"/>
        <w:autoSpaceDN w:val="0"/>
        <w:adjustRightInd w:val="0"/>
        <w:spacing w:line="360" w:lineRule="auto"/>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六、类似业绩证明材料</w:t>
      </w:r>
    </w:p>
    <w:p>
      <w:pPr>
        <w:autoSpaceDE w:val="0"/>
        <w:autoSpaceDN w:val="0"/>
        <w:adjustRightIn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按采购文件要求提供，加盖公章。</w:t>
      </w:r>
    </w:p>
    <w:bookmarkEnd w:id="90"/>
    <w:bookmarkEnd w:id="91"/>
    <w:bookmarkEnd w:id="92"/>
    <w:bookmarkEnd w:id="93"/>
    <w:bookmarkEnd w:id="94"/>
    <w:bookmarkEnd w:id="95"/>
    <w:bookmarkEnd w:id="96"/>
    <w:bookmarkEnd w:id="97"/>
    <w:bookmarkEnd w:id="98"/>
    <w:bookmarkEnd w:id="99"/>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七、应诉方案</w:t>
      </w:r>
    </w:p>
    <w:p>
      <w:pPr>
        <w:autoSpaceDE w:val="0"/>
        <w:autoSpaceDN w:val="0"/>
        <w:adjustRightInd w:val="0"/>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格式自拟，加盖公章。</w:t>
      </w: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八、响应承诺</w:t>
      </w:r>
    </w:p>
    <w:p>
      <w:pPr>
        <w:autoSpaceDE w:val="0"/>
        <w:autoSpaceDN w:val="0"/>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询比采购文件中涉及的承诺，格式自拟。</w:t>
      </w: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九、评审办法中涉及的相关材料</w:t>
      </w:r>
    </w:p>
    <w:p>
      <w:pPr>
        <w:adjustRightInd w:val="0"/>
        <w:snapToGrid w:val="0"/>
        <w:spacing w:line="360" w:lineRule="auto"/>
        <w:rPr>
          <w:rFonts w:hint="eastAsia" w:ascii="仿宋_GB2312" w:hAnsi="仿宋_GB2312" w:eastAsia="仿宋_GB2312" w:cs="仿宋_GB2312"/>
          <w:b/>
          <w:bCs/>
          <w:sz w:val="28"/>
          <w:szCs w:val="28"/>
        </w:rPr>
      </w:pPr>
    </w:p>
    <w:p>
      <w:pPr>
        <w:widowControl/>
        <w:topLinePunct/>
        <w:adjustRightInd w:val="0"/>
        <w:snapToGrid w:val="0"/>
        <w:spacing w:beforeLines="100" w:line="360" w:lineRule="auto"/>
        <w:outlineLvl w:val="9"/>
        <w:rPr>
          <w:rFonts w:hint="eastAsia" w:ascii="仿宋_GB2312" w:hAnsi="仿宋_GB2312" w:eastAsia="仿宋_GB2312" w:cs="仿宋_GB2312"/>
          <w:sz w:val="28"/>
          <w:szCs w:val="28"/>
        </w:rPr>
      </w:pPr>
    </w:p>
    <w:sectPr>
      <w:footerReference r:id="rId8" w:type="first"/>
      <w:footerReference r:id="rId7" w:type="default"/>
      <w:pgSz w:w="11906" w:h="16838"/>
      <w:pgMar w:top="1418" w:right="1555" w:bottom="1418"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NTaLm5wEAAMcD&#10;AAAOAAAAAAAAAAEAIAAAAB4BAABkcnMvZTJvRG9jLnhtbFBLBQYAAAAABgAGAFkBAAB3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TiyUj5wEAAMcD&#10;AAAOAAAAAAAAAAEAIAAAAB4BAABkcnMvZTJvRG9jLnhtbFBLBQYAAAAABgAGAFkBAAB3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NmUwNzhiNTRjNzI5OWQxNzA4NTEzYzkxNjhjNTkifQ=="/>
  </w:docVars>
  <w:rsids>
    <w:rsidRoot w:val="148D67BF"/>
    <w:rsid w:val="0000249A"/>
    <w:rsid w:val="00002765"/>
    <w:rsid w:val="000049F9"/>
    <w:rsid w:val="00005672"/>
    <w:rsid w:val="00010775"/>
    <w:rsid w:val="0001163B"/>
    <w:rsid w:val="00014C38"/>
    <w:rsid w:val="00016732"/>
    <w:rsid w:val="00022F46"/>
    <w:rsid w:val="00024087"/>
    <w:rsid w:val="00024E98"/>
    <w:rsid w:val="00027CA3"/>
    <w:rsid w:val="000313E1"/>
    <w:rsid w:val="00031593"/>
    <w:rsid w:val="00031DB2"/>
    <w:rsid w:val="0003384A"/>
    <w:rsid w:val="00033BC9"/>
    <w:rsid w:val="00033C3C"/>
    <w:rsid w:val="00040083"/>
    <w:rsid w:val="000412BE"/>
    <w:rsid w:val="00042405"/>
    <w:rsid w:val="00043470"/>
    <w:rsid w:val="000458E9"/>
    <w:rsid w:val="00050B7D"/>
    <w:rsid w:val="000512D8"/>
    <w:rsid w:val="00052AED"/>
    <w:rsid w:val="0005330D"/>
    <w:rsid w:val="000556C4"/>
    <w:rsid w:val="00055802"/>
    <w:rsid w:val="00056525"/>
    <w:rsid w:val="000572A7"/>
    <w:rsid w:val="00057C7F"/>
    <w:rsid w:val="00060D62"/>
    <w:rsid w:val="00061050"/>
    <w:rsid w:val="00061051"/>
    <w:rsid w:val="0006289E"/>
    <w:rsid w:val="00062941"/>
    <w:rsid w:val="00063082"/>
    <w:rsid w:val="00064009"/>
    <w:rsid w:val="000668E4"/>
    <w:rsid w:val="000701D2"/>
    <w:rsid w:val="0007407B"/>
    <w:rsid w:val="00074DD9"/>
    <w:rsid w:val="00075878"/>
    <w:rsid w:val="00075B11"/>
    <w:rsid w:val="00077E91"/>
    <w:rsid w:val="00083303"/>
    <w:rsid w:val="00085AD9"/>
    <w:rsid w:val="00091FFF"/>
    <w:rsid w:val="00092CD5"/>
    <w:rsid w:val="00095E8E"/>
    <w:rsid w:val="000967B1"/>
    <w:rsid w:val="000A5ED5"/>
    <w:rsid w:val="000A7F31"/>
    <w:rsid w:val="000B0713"/>
    <w:rsid w:val="000B0F80"/>
    <w:rsid w:val="000B4109"/>
    <w:rsid w:val="000B46A1"/>
    <w:rsid w:val="000B50D7"/>
    <w:rsid w:val="000B55AF"/>
    <w:rsid w:val="000B5D5A"/>
    <w:rsid w:val="000B6F55"/>
    <w:rsid w:val="000B7896"/>
    <w:rsid w:val="000C2E62"/>
    <w:rsid w:val="000C4F5A"/>
    <w:rsid w:val="000C644E"/>
    <w:rsid w:val="000C6CCA"/>
    <w:rsid w:val="000D1246"/>
    <w:rsid w:val="000D167A"/>
    <w:rsid w:val="000D482B"/>
    <w:rsid w:val="000D57BD"/>
    <w:rsid w:val="000D5BCB"/>
    <w:rsid w:val="000D6D83"/>
    <w:rsid w:val="000E022F"/>
    <w:rsid w:val="000E0945"/>
    <w:rsid w:val="000E1A67"/>
    <w:rsid w:val="000E1C51"/>
    <w:rsid w:val="000E1F2E"/>
    <w:rsid w:val="000E3AB9"/>
    <w:rsid w:val="000E428D"/>
    <w:rsid w:val="000F0128"/>
    <w:rsid w:val="000F1A70"/>
    <w:rsid w:val="000F6921"/>
    <w:rsid w:val="000F77C1"/>
    <w:rsid w:val="001017DD"/>
    <w:rsid w:val="001030B5"/>
    <w:rsid w:val="001043C5"/>
    <w:rsid w:val="00107DD1"/>
    <w:rsid w:val="00110CE8"/>
    <w:rsid w:val="00110FE2"/>
    <w:rsid w:val="00113B41"/>
    <w:rsid w:val="00114C77"/>
    <w:rsid w:val="00116400"/>
    <w:rsid w:val="00116E77"/>
    <w:rsid w:val="00117ABD"/>
    <w:rsid w:val="00120759"/>
    <w:rsid w:val="0012661F"/>
    <w:rsid w:val="00131B52"/>
    <w:rsid w:val="00133380"/>
    <w:rsid w:val="00133898"/>
    <w:rsid w:val="00133D13"/>
    <w:rsid w:val="00134B14"/>
    <w:rsid w:val="001366F3"/>
    <w:rsid w:val="001373CA"/>
    <w:rsid w:val="00140AC0"/>
    <w:rsid w:val="0014167D"/>
    <w:rsid w:val="00144904"/>
    <w:rsid w:val="00145737"/>
    <w:rsid w:val="001517AB"/>
    <w:rsid w:val="00152CD1"/>
    <w:rsid w:val="00153BD3"/>
    <w:rsid w:val="001608DE"/>
    <w:rsid w:val="00161DEF"/>
    <w:rsid w:val="00165383"/>
    <w:rsid w:val="00174335"/>
    <w:rsid w:val="00174618"/>
    <w:rsid w:val="00174CBA"/>
    <w:rsid w:val="001768BE"/>
    <w:rsid w:val="0017733B"/>
    <w:rsid w:val="00177DF9"/>
    <w:rsid w:val="00180146"/>
    <w:rsid w:val="0018031B"/>
    <w:rsid w:val="001804B0"/>
    <w:rsid w:val="001814D1"/>
    <w:rsid w:val="0018290F"/>
    <w:rsid w:val="00182E7B"/>
    <w:rsid w:val="0018553B"/>
    <w:rsid w:val="00190646"/>
    <w:rsid w:val="00191F4F"/>
    <w:rsid w:val="0019213A"/>
    <w:rsid w:val="00193844"/>
    <w:rsid w:val="00193BFD"/>
    <w:rsid w:val="00195B41"/>
    <w:rsid w:val="00195FAE"/>
    <w:rsid w:val="00196059"/>
    <w:rsid w:val="00196AD8"/>
    <w:rsid w:val="00196C1C"/>
    <w:rsid w:val="00196D38"/>
    <w:rsid w:val="001979FD"/>
    <w:rsid w:val="001A003B"/>
    <w:rsid w:val="001A4949"/>
    <w:rsid w:val="001A78BC"/>
    <w:rsid w:val="001B02D4"/>
    <w:rsid w:val="001B0A5D"/>
    <w:rsid w:val="001B0C1A"/>
    <w:rsid w:val="001B0E21"/>
    <w:rsid w:val="001B108E"/>
    <w:rsid w:val="001B1BF2"/>
    <w:rsid w:val="001B2D73"/>
    <w:rsid w:val="001B3C8C"/>
    <w:rsid w:val="001B5F91"/>
    <w:rsid w:val="001C0E0A"/>
    <w:rsid w:val="001C166B"/>
    <w:rsid w:val="001C62CA"/>
    <w:rsid w:val="001D18F3"/>
    <w:rsid w:val="001D7963"/>
    <w:rsid w:val="001E0BBE"/>
    <w:rsid w:val="001E2559"/>
    <w:rsid w:val="001E2641"/>
    <w:rsid w:val="001E39FF"/>
    <w:rsid w:val="001E3C64"/>
    <w:rsid w:val="001E424F"/>
    <w:rsid w:val="001E4C31"/>
    <w:rsid w:val="001E52F4"/>
    <w:rsid w:val="001E53E2"/>
    <w:rsid w:val="001E6273"/>
    <w:rsid w:val="001E6E96"/>
    <w:rsid w:val="001E7D7E"/>
    <w:rsid w:val="001F135C"/>
    <w:rsid w:val="001F15DD"/>
    <w:rsid w:val="001F44F5"/>
    <w:rsid w:val="001F4915"/>
    <w:rsid w:val="001F5B6A"/>
    <w:rsid w:val="001F7D48"/>
    <w:rsid w:val="00203640"/>
    <w:rsid w:val="00205939"/>
    <w:rsid w:val="00207652"/>
    <w:rsid w:val="00211B2A"/>
    <w:rsid w:val="0021426A"/>
    <w:rsid w:val="00215546"/>
    <w:rsid w:val="00216415"/>
    <w:rsid w:val="00216D6B"/>
    <w:rsid w:val="00217DF6"/>
    <w:rsid w:val="00220FE4"/>
    <w:rsid w:val="002224F1"/>
    <w:rsid w:val="00222B43"/>
    <w:rsid w:val="0022469F"/>
    <w:rsid w:val="00226FEC"/>
    <w:rsid w:val="0023073B"/>
    <w:rsid w:val="0024047F"/>
    <w:rsid w:val="00240DAA"/>
    <w:rsid w:val="002410E5"/>
    <w:rsid w:val="002410FA"/>
    <w:rsid w:val="00243934"/>
    <w:rsid w:val="00244A29"/>
    <w:rsid w:val="00244D6F"/>
    <w:rsid w:val="00250574"/>
    <w:rsid w:val="00251381"/>
    <w:rsid w:val="00252F28"/>
    <w:rsid w:val="00252F32"/>
    <w:rsid w:val="00253765"/>
    <w:rsid w:val="002538FA"/>
    <w:rsid w:val="002557AD"/>
    <w:rsid w:val="002568DD"/>
    <w:rsid w:val="00267D9A"/>
    <w:rsid w:val="00267F30"/>
    <w:rsid w:val="00271016"/>
    <w:rsid w:val="00272028"/>
    <w:rsid w:val="00272BDA"/>
    <w:rsid w:val="00274384"/>
    <w:rsid w:val="00274F43"/>
    <w:rsid w:val="00275B68"/>
    <w:rsid w:val="0027704E"/>
    <w:rsid w:val="00280733"/>
    <w:rsid w:val="00281FE5"/>
    <w:rsid w:val="00283623"/>
    <w:rsid w:val="00284E04"/>
    <w:rsid w:val="002901EA"/>
    <w:rsid w:val="002957AD"/>
    <w:rsid w:val="00297B45"/>
    <w:rsid w:val="002A2CAF"/>
    <w:rsid w:val="002A31F6"/>
    <w:rsid w:val="002A3AC4"/>
    <w:rsid w:val="002A6E21"/>
    <w:rsid w:val="002B2A03"/>
    <w:rsid w:val="002B373A"/>
    <w:rsid w:val="002B3E51"/>
    <w:rsid w:val="002B4904"/>
    <w:rsid w:val="002B616F"/>
    <w:rsid w:val="002B6EB3"/>
    <w:rsid w:val="002C1526"/>
    <w:rsid w:val="002C363E"/>
    <w:rsid w:val="002C46E9"/>
    <w:rsid w:val="002C5EA1"/>
    <w:rsid w:val="002D0991"/>
    <w:rsid w:val="002D1095"/>
    <w:rsid w:val="002D657F"/>
    <w:rsid w:val="002D67F3"/>
    <w:rsid w:val="002E0A35"/>
    <w:rsid w:val="002E0B3A"/>
    <w:rsid w:val="002E1A68"/>
    <w:rsid w:val="002E2679"/>
    <w:rsid w:val="002E2693"/>
    <w:rsid w:val="002E3339"/>
    <w:rsid w:val="002E571E"/>
    <w:rsid w:val="002E5B40"/>
    <w:rsid w:val="002E6E24"/>
    <w:rsid w:val="002F343F"/>
    <w:rsid w:val="002F6AAD"/>
    <w:rsid w:val="0030170E"/>
    <w:rsid w:val="0030332B"/>
    <w:rsid w:val="003037AE"/>
    <w:rsid w:val="003043EF"/>
    <w:rsid w:val="003052E9"/>
    <w:rsid w:val="0030745C"/>
    <w:rsid w:val="00307CD7"/>
    <w:rsid w:val="00310251"/>
    <w:rsid w:val="00312696"/>
    <w:rsid w:val="003134DF"/>
    <w:rsid w:val="0031576E"/>
    <w:rsid w:val="0032755E"/>
    <w:rsid w:val="00330AEC"/>
    <w:rsid w:val="00331079"/>
    <w:rsid w:val="003316D5"/>
    <w:rsid w:val="00331AB3"/>
    <w:rsid w:val="00332DC5"/>
    <w:rsid w:val="0033343A"/>
    <w:rsid w:val="00335147"/>
    <w:rsid w:val="00337299"/>
    <w:rsid w:val="003403C1"/>
    <w:rsid w:val="003418AF"/>
    <w:rsid w:val="00342367"/>
    <w:rsid w:val="00343307"/>
    <w:rsid w:val="00345017"/>
    <w:rsid w:val="00345ACE"/>
    <w:rsid w:val="003467A0"/>
    <w:rsid w:val="0034777A"/>
    <w:rsid w:val="0035061F"/>
    <w:rsid w:val="003506D6"/>
    <w:rsid w:val="003510BF"/>
    <w:rsid w:val="00351C48"/>
    <w:rsid w:val="00355AD7"/>
    <w:rsid w:val="00355C22"/>
    <w:rsid w:val="00371137"/>
    <w:rsid w:val="00371960"/>
    <w:rsid w:val="00373438"/>
    <w:rsid w:val="00373523"/>
    <w:rsid w:val="00375009"/>
    <w:rsid w:val="0037631D"/>
    <w:rsid w:val="00380A86"/>
    <w:rsid w:val="00380E07"/>
    <w:rsid w:val="0038391B"/>
    <w:rsid w:val="00383F56"/>
    <w:rsid w:val="0038601E"/>
    <w:rsid w:val="0038685D"/>
    <w:rsid w:val="00386D4C"/>
    <w:rsid w:val="00387083"/>
    <w:rsid w:val="00392D46"/>
    <w:rsid w:val="00397676"/>
    <w:rsid w:val="003A1D02"/>
    <w:rsid w:val="003A2A40"/>
    <w:rsid w:val="003A3BD4"/>
    <w:rsid w:val="003A4150"/>
    <w:rsid w:val="003A561D"/>
    <w:rsid w:val="003A5770"/>
    <w:rsid w:val="003A6C90"/>
    <w:rsid w:val="003B2516"/>
    <w:rsid w:val="003B68AD"/>
    <w:rsid w:val="003B6C74"/>
    <w:rsid w:val="003C153A"/>
    <w:rsid w:val="003C292C"/>
    <w:rsid w:val="003C2C4F"/>
    <w:rsid w:val="003D0AE4"/>
    <w:rsid w:val="003D2BB0"/>
    <w:rsid w:val="003D31F5"/>
    <w:rsid w:val="003D63CC"/>
    <w:rsid w:val="003E165C"/>
    <w:rsid w:val="003E2146"/>
    <w:rsid w:val="003E27E4"/>
    <w:rsid w:val="003E7F4E"/>
    <w:rsid w:val="003F1B25"/>
    <w:rsid w:val="003F1C0A"/>
    <w:rsid w:val="003F7151"/>
    <w:rsid w:val="004009A4"/>
    <w:rsid w:val="00401536"/>
    <w:rsid w:val="00402A73"/>
    <w:rsid w:val="00404788"/>
    <w:rsid w:val="00404C60"/>
    <w:rsid w:val="0040782C"/>
    <w:rsid w:val="004104BA"/>
    <w:rsid w:val="0041082B"/>
    <w:rsid w:val="004150CA"/>
    <w:rsid w:val="00417928"/>
    <w:rsid w:val="004213D2"/>
    <w:rsid w:val="00421901"/>
    <w:rsid w:val="0042472E"/>
    <w:rsid w:val="00424AEB"/>
    <w:rsid w:val="00425057"/>
    <w:rsid w:val="00425429"/>
    <w:rsid w:val="0042721B"/>
    <w:rsid w:val="00434435"/>
    <w:rsid w:val="00435ABE"/>
    <w:rsid w:val="00435C14"/>
    <w:rsid w:val="004370D1"/>
    <w:rsid w:val="00441F12"/>
    <w:rsid w:val="00443541"/>
    <w:rsid w:val="004435A4"/>
    <w:rsid w:val="0044431B"/>
    <w:rsid w:val="004455C7"/>
    <w:rsid w:val="004503E8"/>
    <w:rsid w:val="00450BB8"/>
    <w:rsid w:val="00452654"/>
    <w:rsid w:val="00453530"/>
    <w:rsid w:val="00461114"/>
    <w:rsid w:val="00472CC3"/>
    <w:rsid w:val="00475394"/>
    <w:rsid w:val="004758B1"/>
    <w:rsid w:val="00476420"/>
    <w:rsid w:val="00476F93"/>
    <w:rsid w:val="004801F5"/>
    <w:rsid w:val="004814CD"/>
    <w:rsid w:val="0048205B"/>
    <w:rsid w:val="0048233F"/>
    <w:rsid w:val="00482A25"/>
    <w:rsid w:val="00484157"/>
    <w:rsid w:val="004848DC"/>
    <w:rsid w:val="00485B89"/>
    <w:rsid w:val="004860E8"/>
    <w:rsid w:val="00486FF9"/>
    <w:rsid w:val="00487525"/>
    <w:rsid w:val="00487547"/>
    <w:rsid w:val="00487D0A"/>
    <w:rsid w:val="00487EE9"/>
    <w:rsid w:val="00494BF3"/>
    <w:rsid w:val="00495A58"/>
    <w:rsid w:val="00495CF5"/>
    <w:rsid w:val="0049627F"/>
    <w:rsid w:val="004963C0"/>
    <w:rsid w:val="00497413"/>
    <w:rsid w:val="004977B2"/>
    <w:rsid w:val="004A023D"/>
    <w:rsid w:val="004A0978"/>
    <w:rsid w:val="004A0F0C"/>
    <w:rsid w:val="004A1DB4"/>
    <w:rsid w:val="004A43DC"/>
    <w:rsid w:val="004A5F04"/>
    <w:rsid w:val="004A6289"/>
    <w:rsid w:val="004A62B6"/>
    <w:rsid w:val="004A7249"/>
    <w:rsid w:val="004A75ED"/>
    <w:rsid w:val="004B1363"/>
    <w:rsid w:val="004B14A7"/>
    <w:rsid w:val="004B154E"/>
    <w:rsid w:val="004B5E0B"/>
    <w:rsid w:val="004B5E85"/>
    <w:rsid w:val="004B6789"/>
    <w:rsid w:val="004B7D30"/>
    <w:rsid w:val="004C0633"/>
    <w:rsid w:val="004C0D64"/>
    <w:rsid w:val="004C0F13"/>
    <w:rsid w:val="004C2045"/>
    <w:rsid w:val="004C43FE"/>
    <w:rsid w:val="004C61E9"/>
    <w:rsid w:val="004C6B57"/>
    <w:rsid w:val="004D0969"/>
    <w:rsid w:val="004D0D94"/>
    <w:rsid w:val="004D0E7F"/>
    <w:rsid w:val="004D1091"/>
    <w:rsid w:val="004D3016"/>
    <w:rsid w:val="004D3F94"/>
    <w:rsid w:val="004E081F"/>
    <w:rsid w:val="004E0EB3"/>
    <w:rsid w:val="004E1D9B"/>
    <w:rsid w:val="004E3696"/>
    <w:rsid w:val="004E4626"/>
    <w:rsid w:val="004E4A8E"/>
    <w:rsid w:val="004E6A97"/>
    <w:rsid w:val="004E6D70"/>
    <w:rsid w:val="004F1856"/>
    <w:rsid w:val="004F76AB"/>
    <w:rsid w:val="00503B94"/>
    <w:rsid w:val="00506DAE"/>
    <w:rsid w:val="0051096E"/>
    <w:rsid w:val="00510A4E"/>
    <w:rsid w:val="00516035"/>
    <w:rsid w:val="0052316D"/>
    <w:rsid w:val="00525B12"/>
    <w:rsid w:val="00526223"/>
    <w:rsid w:val="00530BED"/>
    <w:rsid w:val="00530E14"/>
    <w:rsid w:val="00533E18"/>
    <w:rsid w:val="00533E21"/>
    <w:rsid w:val="00536A0A"/>
    <w:rsid w:val="005427E6"/>
    <w:rsid w:val="00545910"/>
    <w:rsid w:val="005479C7"/>
    <w:rsid w:val="005563A6"/>
    <w:rsid w:val="00556E1F"/>
    <w:rsid w:val="0056109B"/>
    <w:rsid w:val="005652C7"/>
    <w:rsid w:val="00567BD7"/>
    <w:rsid w:val="00573729"/>
    <w:rsid w:val="00573880"/>
    <w:rsid w:val="00575E40"/>
    <w:rsid w:val="00575E5D"/>
    <w:rsid w:val="00577486"/>
    <w:rsid w:val="005814CA"/>
    <w:rsid w:val="00584CE1"/>
    <w:rsid w:val="00585C62"/>
    <w:rsid w:val="00586902"/>
    <w:rsid w:val="005937FC"/>
    <w:rsid w:val="0059502A"/>
    <w:rsid w:val="0059532E"/>
    <w:rsid w:val="005A0979"/>
    <w:rsid w:val="005A1474"/>
    <w:rsid w:val="005A2278"/>
    <w:rsid w:val="005A4A78"/>
    <w:rsid w:val="005A51A9"/>
    <w:rsid w:val="005B0C3E"/>
    <w:rsid w:val="005B0E9B"/>
    <w:rsid w:val="005B1CED"/>
    <w:rsid w:val="005B28DE"/>
    <w:rsid w:val="005B29E1"/>
    <w:rsid w:val="005B4DA5"/>
    <w:rsid w:val="005B5629"/>
    <w:rsid w:val="005B57BF"/>
    <w:rsid w:val="005B5C88"/>
    <w:rsid w:val="005B5F9E"/>
    <w:rsid w:val="005C14DF"/>
    <w:rsid w:val="005C3732"/>
    <w:rsid w:val="005C594E"/>
    <w:rsid w:val="005C7A59"/>
    <w:rsid w:val="005D37BB"/>
    <w:rsid w:val="005D6DA0"/>
    <w:rsid w:val="005D75BD"/>
    <w:rsid w:val="005E12EC"/>
    <w:rsid w:val="005E1921"/>
    <w:rsid w:val="005E5002"/>
    <w:rsid w:val="005E6381"/>
    <w:rsid w:val="005E79F6"/>
    <w:rsid w:val="005F4064"/>
    <w:rsid w:val="005F52A9"/>
    <w:rsid w:val="005F53E1"/>
    <w:rsid w:val="006007C1"/>
    <w:rsid w:val="00600AA6"/>
    <w:rsid w:val="00603AF6"/>
    <w:rsid w:val="00604386"/>
    <w:rsid w:val="00604860"/>
    <w:rsid w:val="006049A2"/>
    <w:rsid w:val="00605076"/>
    <w:rsid w:val="006062CF"/>
    <w:rsid w:val="006073E5"/>
    <w:rsid w:val="0060742C"/>
    <w:rsid w:val="006075E7"/>
    <w:rsid w:val="006115FA"/>
    <w:rsid w:val="006131EA"/>
    <w:rsid w:val="00613815"/>
    <w:rsid w:val="00615749"/>
    <w:rsid w:val="00617011"/>
    <w:rsid w:val="00617A47"/>
    <w:rsid w:val="0062392E"/>
    <w:rsid w:val="00625BB8"/>
    <w:rsid w:val="00625C52"/>
    <w:rsid w:val="00627133"/>
    <w:rsid w:val="00630EB9"/>
    <w:rsid w:val="006313D8"/>
    <w:rsid w:val="006323AF"/>
    <w:rsid w:val="00634691"/>
    <w:rsid w:val="00634933"/>
    <w:rsid w:val="006363EF"/>
    <w:rsid w:val="006407CC"/>
    <w:rsid w:val="00642EF6"/>
    <w:rsid w:val="006501CD"/>
    <w:rsid w:val="00650C5F"/>
    <w:rsid w:val="0065145B"/>
    <w:rsid w:val="0065235F"/>
    <w:rsid w:val="00654038"/>
    <w:rsid w:val="00654957"/>
    <w:rsid w:val="0065700D"/>
    <w:rsid w:val="00657526"/>
    <w:rsid w:val="00660A19"/>
    <w:rsid w:val="00660F7A"/>
    <w:rsid w:val="00662582"/>
    <w:rsid w:val="00663166"/>
    <w:rsid w:val="00666077"/>
    <w:rsid w:val="00667241"/>
    <w:rsid w:val="00670233"/>
    <w:rsid w:val="00671671"/>
    <w:rsid w:val="00671C71"/>
    <w:rsid w:val="00674409"/>
    <w:rsid w:val="00674683"/>
    <w:rsid w:val="00680F0E"/>
    <w:rsid w:val="006811C4"/>
    <w:rsid w:val="00682472"/>
    <w:rsid w:val="00683469"/>
    <w:rsid w:val="0068462A"/>
    <w:rsid w:val="00686A9C"/>
    <w:rsid w:val="00686D76"/>
    <w:rsid w:val="006911B0"/>
    <w:rsid w:val="006913E9"/>
    <w:rsid w:val="00692573"/>
    <w:rsid w:val="00692FDA"/>
    <w:rsid w:val="00694EBA"/>
    <w:rsid w:val="00695EAD"/>
    <w:rsid w:val="006A3571"/>
    <w:rsid w:val="006A4C1F"/>
    <w:rsid w:val="006A4DB0"/>
    <w:rsid w:val="006A5024"/>
    <w:rsid w:val="006A5CBE"/>
    <w:rsid w:val="006B5101"/>
    <w:rsid w:val="006B526A"/>
    <w:rsid w:val="006B63E9"/>
    <w:rsid w:val="006B7DEA"/>
    <w:rsid w:val="006C224A"/>
    <w:rsid w:val="006C4259"/>
    <w:rsid w:val="006C7F21"/>
    <w:rsid w:val="006D05A5"/>
    <w:rsid w:val="006D2985"/>
    <w:rsid w:val="006D2C78"/>
    <w:rsid w:val="006D2E5B"/>
    <w:rsid w:val="006D6ED6"/>
    <w:rsid w:val="006E00A7"/>
    <w:rsid w:val="006E4E2D"/>
    <w:rsid w:val="006F0D27"/>
    <w:rsid w:val="006F256C"/>
    <w:rsid w:val="006F4446"/>
    <w:rsid w:val="00704BBA"/>
    <w:rsid w:val="007056B8"/>
    <w:rsid w:val="00706FD8"/>
    <w:rsid w:val="007139BF"/>
    <w:rsid w:val="00715E40"/>
    <w:rsid w:val="00716F38"/>
    <w:rsid w:val="007174FD"/>
    <w:rsid w:val="00717501"/>
    <w:rsid w:val="00717E60"/>
    <w:rsid w:val="00720845"/>
    <w:rsid w:val="007214B8"/>
    <w:rsid w:val="00722F14"/>
    <w:rsid w:val="00724C0C"/>
    <w:rsid w:val="00725C1D"/>
    <w:rsid w:val="00731C1F"/>
    <w:rsid w:val="0073208C"/>
    <w:rsid w:val="00732C7C"/>
    <w:rsid w:val="007331D9"/>
    <w:rsid w:val="00733EBF"/>
    <w:rsid w:val="00734643"/>
    <w:rsid w:val="00734DA1"/>
    <w:rsid w:val="007353E2"/>
    <w:rsid w:val="00735700"/>
    <w:rsid w:val="00735D1F"/>
    <w:rsid w:val="007361A7"/>
    <w:rsid w:val="00737B5E"/>
    <w:rsid w:val="00740D34"/>
    <w:rsid w:val="0074327B"/>
    <w:rsid w:val="00744673"/>
    <w:rsid w:val="00746E3E"/>
    <w:rsid w:val="007512BC"/>
    <w:rsid w:val="00751F67"/>
    <w:rsid w:val="00755B9F"/>
    <w:rsid w:val="007563F6"/>
    <w:rsid w:val="00760C6F"/>
    <w:rsid w:val="00763912"/>
    <w:rsid w:val="00764AD4"/>
    <w:rsid w:val="00765631"/>
    <w:rsid w:val="00765960"/>
    <w:rsid w:val="0076598A"/>
    <w:rsid w:val="00765A4E"/>
    <w:rsid w:val="0076661D"/>
    <w:rsid w:val="00771159"/>
    <w:rsid w:val="00774E09"/>
    <w:rsid w:val="00775648"/>
    <w:rsid w:val="007768F8"/>
    <w:rsid w:val="00776DFC"/>
    <w:rsid w:val="00777040"/>
    <w:rsid w:val="00777E75"/>
    <w:rsid w:val="00780D0C"/>
    <w:rsid w:val="00780E19"/>
    <w:rsid w:val="00783A2B"/>
    <w:rsid w:val="00784D3C"/>
    <w:rsid w:val="007853D8"/>
    <w:rsid w:val="00794922"/>
    <w:rsid w:val="007967F7"/>
    <w:rsid w:val="00797A94"/>
    <w:rsid w:val="007A2489"/>
    <w:rsid w:val="007A3015"/>
    <w:rsid w:val="007A7F73"/>
    <w:rsid w:val="007B061A"/>
    <w:rsid w:val="007B2656"/>
    <w:rsid w:val="007B2C02"/>
    <w:rsid w:val="007B4211"/>
    <w:rsid w:val="007B4CEC"/>
    <w:rsid w:val="007B5772"/>
    <w:rsid w:val="007B58C6"/>
    <w:rsid w:val="007B693F"/>
    <w:rsid w:val="007B720C"/>
    <w:rsid w:val="007C01C9"/>
    <w:rsid w:val="007C0BA6"/>
    <w:rsid w:val="007C0D1C"/>
    <w:rsid w:val="007C135F"/>
    <w:rsid w:val="007C20DA"/>
    <w:rsid w:val="007C27C3"/>
    <w:rsid w:val="007C2D41"/>
    <w:rsid w:val="007C3E2A"/>
    <w:rsid w:val="007C4AA5"/>
    <w:rsid w:val="007C5001"/>
    <w:rsid w:val="007D01D5"/>
    <w:rsid w:val="007D1DDB"/>
    <w:rsid w:val="007D22EF"/>
    <w:rsid w:val="007E0516"/>
    <w:rsid w:val="007E0C6A"/>
    <w:rsid w:val="007E1FA7"/>
    <w:rsid w:val="007E3552"/>
    <w:rsid w:val="007F375C"/>
    <w:rsid w:val="007F37C3"/>
    <w:rsid w:val="007F3855"/>
    <w:rsid w:val="007F4306"/>
    <w:rsid w:val="007F571D"/>
    <w:rsid w:val="007F6B9A"/>
    <w:rsid w:val="007F6C4B"/>
    <w:rsid w:val="007F7637"/>
    <w:rsid w:val="0080087C"/>
    <w:rsid w:val="0080237A"/>
    <w:rsid w:val="00803503"/>
    <w:rsid w:val="00805815"/>
    <w:rsid w:val="008069E4"/>
    <w:rsid w:val="00811F88"/>
    <w:rsid w:val="00812484"/>
    <w:rsid w:val="008124C7"/>
    <w:rsid w:val="0081362E"/>
    <w:rsid w:val="008152A4"/>
    <w:rsid w:val="00815ABC"/>
    <w:rsid w:val="00815FE9"/>
    <w:rsid w:val="00816F62"/>
    <w:rsid w:val="0081770D"/>
    <w:rsid w:val="00817845"/>
    <w:rsid w:val="00821DB3"/>
    <w:rsid w:val="0082259F"/>
    <w:rsid w:val="00822F06"/>
    <w:rsid w:val="0082337D"/>
    <w:rsid w:val="00823956"/>
    <w:rsid w:val="00824011"/>
    <w:rsid w:val="008241D1"/>
    <w:rsid w:val="008244BF"/>
    <w:rsid w:val="008247A2"/>
    <w:rsid w:val="00824E2D"/>
    <w:rsid w:val="00827B15"/>
    <w:rsid w:val="00830237"/>
    <w:rsid w:val="00830704"/>
    <w:rsid w:val="00830E68"/>
    <w:rsid w:val="008310DE"/>
    <w:rsid w:val="00831B22"/>
    <w:rsid w:val="008324B8"/>
    <w:rsid w:val="008354E0"/>
    <w:rsid w:val="00835E79"/>
    <w:rsid w:val="00835E81"/>
    <w:rsid w:val="00836410"/>
    <w:rsid w:val="00841042"/>
    <w:rsid w:val="008417B3"/>
    <w:rsid w:val="00843370"/>
    <w:rsid w:val="008452D6"/>
    <w:rsid w:val="00847895"/>
    <w:rsid w:val="008500FD"/>
    <w:rsid w:val="00850BA5"/>
    <w:rsid w:val="00851DC2"/>
    <w:rsid w:val="00851E9E"/>
    <w:rsid w:val="0085732B"/>
    <w:rsid w:val="0086032E"/>
    <w:rsid w:val="00860DA9"/>
    <w:rsid w:val="00861093"/>
    <w:rsid w:val="00861840"/>
    <w:rsid w:val="0086332E"/>
    <w:rsid w:val="008676DD"/>
    <w:rsid w:val="00867C45"/>
    <w:rsid w:val="0087707D"/>
    <w:rsid w:val="00880F3D"/>
    <w:rsid w:val="0088105F"/>
    <w:rsid w:val="00884B62"/>
    <w:rsid w:val="00885C00"/>
    <w:rsid w:val="00887124"/>
    <w:rsid w:val="00890FFC"/>
    <w:rsid w:val="00892220"/>
    <w:rsid w:val="00894218"/>
    <w:rsid w:val="008A0874"/>
    <w:rsid w:val="008A095E"/>
    <w:rsid w:val="008A3C1D"/>
    <w:rsid w:val="008A6432"/>
    <w:rsid w:val="008B1F34"/>
    <w:rsid w:val="008B340D"/>
    <w:rsid w:val="008B4F07"/>
    <w:rsid w:val="008B7253"/>
    <w:rsid w:val="008C2DB9"/>
    <w:rsid w:val="008C3B55"/>
    <w:rsid w:val="008C6260"/>
    <w:rsid w:val="008C639C"/>
    <w:rsid w:val="008D4FA8"/>
    <w:rsid w:val="008D5C95"/>
    <w:rsid w:val="008D77CC"/>
    <w:rsid w:val="008E0E69"/>
    <w:rsid w:val="008E1A75"/>
    <w:rsid w:val="008E2E10"/>
    <w:rsid w:val="008E3200"/>
    <w:rsid w:val="008E5362"/>
    <w:rsid w:val="008E5425"/>
    <w:rsid w:val="008F11D1"/>
    <w:rsid w:val="008F331C"/>
    <w:rsid w:val="008F3CB7"/>
    <w:rsid w:val="008F5649"/>
    <w:rsid w:val="008F58B5"/>
    <w:rsid w:val="00900BAD"/>
    <w:rsid w:val="00903042"/>
    <w:rsid w:val="009033AE"/>
    <w:rsid w:val="00913106"/>
    <w:rsid w:val="0091472E"/>
    <w:rsid w:val="0091558D"/>
    <w:rsid w:val="009157DB"/>
    <w:rsid w:val="0092041D"/>
    <w:rsid w:val="0092261D"/>
    <w:rsid w:val="00924DAD"/>
    <w:rsid w:val="0092588B"/>
    <w:rsid w:val="009266B7"/>
    <w:rsid w:val="009325E1"/>
    <w:rsid w:val="00932F6C"/>
    <w:rsid w:val="00932FB7"/>
    <w:rsid w:val="00935C79"/>
    <w:rsid w:val="0093680A"/>
    <w:rsid w:val="00936AF3"/>
    <w:rsid w:val="00936B7E"/>
    <w:rsid w:val="00942BBE"/>
    <w:rsid w:val="00943B0F"/>
    <w:rsid w:val="00943FD0"/>
    <w:rsid w:val="00947208"/>
    <w:rsid w:val="00947A99"/>
    <w:rsid w:val="009508DE"/>
    <w:rsid w:val="00952E82"/>
    <w:rsid w:val="00954F35"/>
    <w:rsid w:val="0095599B"/>
    <w:rsid w:val="009663F1"/>
    <w:rsid w:val="0097004C"/>
    <w:rsid w:val="00970F20"/>
    <w:rsid w:val="00971CF6"/>
    <w:rsid w:val="00973F6C"/>
    <w:rsid w:val="00974150"/>
    <w:rsid w:val="00982121"/>
    <w:rsid w:val="00982CCF"/>
    <w:rsid w:val="0099171A"/>
    <w:rsid w:val="00994FE7"/>
    <w:rsid w:val="00997FFE"/>
    <w:rsid w:val="009A1794"/>
    <w:rsid w:val="009A46C8"/>
    <w:rsid w:val="009A4B16"/>
    <w:rsid w:val="009A7F9F"/>
    <w:rsid w:val="009B3988"/>
    <w:rsid w:val="009B3DA7"/>
    <w:rsid w:val="009B4CBC"/>
    <w:rsid w:val="009B5F76"/>
    <w:rsid w:val="009B7B19"/>
    <w:rsid w:val="009C1319"/>
    <w:rsid w:val="009C20DB"/>
    <w:rsid w:val="009C2576"/>
    <w:rsid w:val="009C3574"/>
    <w:rsid w:val="009C62C4"/>
    <w:rsid w:val="009C6FB5"/>
    <w:rsid w:val="009D2806"/>
    <w:rsid w:val="009D2F9C"/>
    <w:rsid w:val="009D7AAC"/>
    <w:rsid w:val="009E2469"/>
    <w:rsid w:val="009E32C4"/>
    <w:rsid w:val="009E68D2"/>
    <w:rsid w:val="009E7F91"/>
    <w:rsid w:val="009F141D"/>
    <w:rsid w:val="009F3AF0"/>
    <w:rsid w:val="009F3B66"/>
    <w:rsid w:val="009F3CEE"/>
    <w:rsid w:val="009F4068"/>
    <w:rsid w:val="009F5CAE"/>
    <w:rsid w:val="009F6B11"/>
    <w:rsid w:val="009F776C"/>
    <w:rsid w:val="009F799B"/>
    <w:rsid w:val="00A00DE9"/>
    <w:rsid w:val="00A01ABC"/>
    <w:rsid w:val="00A01CAA"/>
    <w:rsid w:val="00A05719"/>
    <w:rsid w:val="00A06932"/>
    <w:rsid w:val="00A10A9F"/>
    <w:rsid w:val="00A11A2B"/>
    <w:rsid w:val="00A11FD0"/>
    <w:rsid w:val="00A153B4"/>
    <w:rsid w:val="00A161A7"/>
    <w:rsid w:val="00A16614"/>
    <w:rsid w:val="00A16654"/>
    <w:rsid w:val="00A175EB"/>
    <w:rsid w:val="00A17811"/>
    <w:rsid w:val="00A20631"/>
    <w:rsid w:val="00A23DA6"/>
    <w:rsid w:val="00A2691B"/>
    <w:rsid w:val="00A26AF0"/>
    <w:rsid w:val="00A30656"/>
    <w:rsid w:val="00A313A8"/>
    <w:rsid w:val="00A31B3A"/>
    <w:rsid w:val="00A31D72"/>
    <w:rsid w:val="00A35101"/>
    <w:rsid w:val="00A35BF3"/>
    <w:rsid w:val="00A35FFA"/>
    <w:rsid w:val="00A4088D"/>
    <w:rsid w:val="00A418B0"/>
    <w:rsid w:val="00A41E12"/>
    <w:rsid w:val="00A43850"/>
    <w:rsid w:val="00A44AB8"/>
    <w:rsid w:val="00A450AC"/>
    <w:rsid w:val="00A454CA"/>
    <w:rsid w:val="00A46035"/>
    <w:rsid w:val="00A4704D"/>
    <w:rsid w:val="00A503B0"/>
    <w:rsid w:val="00A5111D"/>
    <w:rsid w:val="00A528F2"/>
    <w:rsid w:val="00A53B4A"/>
    <w:rsid w:val="00A54896"/>
    <w:rsid w:val="00A55056"/>
    <w:rsid w:val="00A55172"/>
    <w:rsid w:val="00A55204"/>
    <w:rsid w:val="00A55947"/>
    <w:rsid w:val="00A6318A"/>
    <w:rsid w:val="00A64CFB"/>
    <w:rsid w:val="00A651AC"/>
    <w:rsid w:val="00A65834"/>
    <w:rsid w:val="00A6639E"/>
    <w:rsid w:val="00A67171"/>
    <w:rsid w:val="00A67813"/>
    <w:rsid w:val="00A71914"/>
    <w:rsid w:val="00A74B8D"/>
    <w:rsid w:val="00A753A1"/>
    <w:rsid w:val="00A77E1E"/>
    <w:rsid w:val="00A809ED"/>
    <w:rsid w:val="00A8257F"/>
    <w:rsid w:val="00A82E6D"/>
    <w:rsid w:val="00A83087"/>
    <w:rsid w:val="00A83166"/>
    <w:rsid w:val="00A834D9"/>
    <w:rsid w:val="00A842EC"/>
    <w:rsid w:val="00A87BAB"/>
    <w:rsid w:val="00A9254E"/>
    <w:rsid w:val="00A93C15"/>
    <w:rsid w:val="00A9455B"/>
    <w:rsid w:val="00A9523D"/>
    <w:rsid w:val="00AA17B7"/>
    <w:rsid w:val="00AA266B"/>
    <w:rsid w:val="00AA2737"/>
    <w:rsid w:val="00AA30BB"/>
    <w:rsid w:val="00AA4787"/>
    <w:rsid w:val="00AA55DC"/>
    <w:rsid w:val="00AA5ADD"/>
    <w:rsid w:val="00AA5AF5"/>
    <w:rsid w:val="00AA5EC0"/>
    <w:rsid w:val="00AA7D31"/>
    <w:rsid w:val="00AB0837"/>
    <w:rsid w:val="00AB45F7"/>
    <w:rsid w:val="00AB4FBF"/>
    <w:rsid w:val="00AB552B"/>
    <w:rsid w:val="00AC030E"/>
    <w:rsid w:val="00AC04AB"/>
    <w:rsid w:val="00AC404D"/>
    <w:rsid w:val="00AC41FA"/>
    <w:rsid w:val="00AC512A"/>
    <w:rsid w:val="00AC71D3"/>
    <w:rsid w:val="00AD5CBE"/>
    <w:rsid w:val="00AD5D16"/>
    <w:rsid w:val="00AD6B73"/>
    <w:rsid w:val="00AE0DBC"/>
    <w:rsid w:val="00AE5991"/>
    <w:rsid w:val="00AF1F29"/>
    <w:rsid w:val="00AF203C"/>
    <w:rsid w:val="00AF20DE"/>
    <w:rsid w:val="00AF2E6C"/>
    <w:rsid w:val="00AF3302"/>
    <w:rsid w:val="00AF420F"/>
    <w:rsid w:val="00AF580C"/>
    <w:rsid w:val="00AF5CAF"/>
    <w:rsid w:val="00AF73A0"/>
    <w:rsid w:val="00B00C72"/>
    <w:rsid w:val="00B02B72"/>
    <w:rsid w:val="00B03042"/>
    <w:rsid w:val="00B116FA"/>
    <w:rsid w:val="00B1332F"/>
    <w:rsid w:val="00B13AAF"/>
    <w:rsid w:val="00B13CE7"/>
    <w:rsid w:val="00B21A5E"/>
    <w:rsid w:val="00B21B7B"/>
    <w:rsid w:val="00B21D33"/>
    <w:rsid w:val="00B26AB1"/>
    <w:rsid w:val="00B27AF9"/>
    <w:rsid w:val="00B30333"/>
    <w:rsid w:val="00B3258F"/>
    <w:rsid w:val="00B33041"/>
    <w:rsid w:val="00B33CCF"/>
    <w:rsid w:val="00B35048"/>
    <w:rsid w:val="00B36FA2"/>
    <w:rsid w:val="00B4143D"/>
    <w:rsid w:val="00B4252E"/>
    <w:rsid w:val="00B4461D"/>
    <w:rsid w:val="00B47D45"/>
    <w:rsid w:val="00B50017"/>
    <w:rsid w:val="00B500A2"/>
    <w:rsid w:val="00B52F04"/>
    <w:rsid w:val="00B539D4"/>
    <w:rsid w:val="00B55C5A"/>
    <w:rsid w:val="00B568A9"/>
    <w:rsid w:val="00B56AD8"/>
    <w:rsid w:val="00B63D2C"/>
    <w:rsid w:val="00B70654"/>
    <w:rsid w:val="00B7098F"/>
    <w:rsid w:val="00B723F0"/>
    <w:rsid w:val="00B72644"/>
    <w:rsid w:val="00B73C7D"/>
    <w:rsid w:val="00B73F42"/>
    <w:rsid w:val="00B765C6"/>
    <w:rsid w:val="00B77562"/>
    <w:rsid w:val="00B8048F"/>
    <w:rsid w:val="00B8111A"/>
    <w:rsid w:val="00B81761"/>
    <w:rsid w:val="00B830FB"/>
    <w:rsid w:val="00B8519F"/>
    <w:rsid w:val="00B878BF"/>
    <w:rsid w:val="00B90B7C"/>
    <w:rsid w:val="00B90F55"/>
    <w:rsid w:val="00B9142A"/>
    <w:rsid w:val="00B923C5"/>
    <w:rsid w:val="00B92B70"/>
    <w:rsid w:val="00B9600D"/>
    <w:rsid w:val="00B961B7"/>
    <w:rsid w:val="00B97A0B"/>
    <w:rsid w:val="00BA1028"/>
    <w:rsid w:val="00BA2549"/>
    <w:rsid w:val="00BA3D55"/>
    <w:rsid w:val="00BA51DC"/>
    <w:rsid w:val="00BB0346"/>
    <w:rsid w:val="00BB14E0"/>
    <w:rsid w:val="00BB21EC"/>
    <w:rsid w:val="00BB4113"/>
    <w:rsid w:val="00BB7A77"/>
    <w:rsid w:val="00BC02A1"/>
    <w:rsid w:val="00BC2906"/>
    <w:rsid w:val="00BC3014"/>
    <w:rsid w:val="00BC475F"/>
    <w:rsid w:val="00BC49F0"/>
    <w:rsid w:val="00BC4EDF"/>
    <w:rsid w:val="00BC4F07"/>
    <w:rsid w:val="00BC503D"/>
    <w:rsid w:val="00BC6369"/>
    <w:rsid w:val="00BC6C49"/>
    <w:rsid w:val="00BC6DA1"/>
    <w:rsid w:val="00BC7ED7"/>
    <w:rsid w:val="00BD0850"/>
    <w:rsid w:val="00BD335C"/>
    <w:rsid w:val="00BD3686"/>
    <w:rsid w:val="00BD656A"/>
    <w:rsid w:val="00BD6A56"/>
    <w:rsid w:val="00BD6B4C"/>
    <w:rsid w:val="00BD6D50"/>
    <w:rsid w:val="00BD7F04"/>
    <w:rsid w:val="00BE07AB"/>
    <w:rsid w:val="00BE2BAE"/>
    <w:rsid w:val="00BE345B"/>
    <w:rsid w:val="00BE5020"/>
    <w:rsid w:val="00BE5460"/>
    <w:rsid w:val="00BE6709"/>
    <w:rsid w:val="00BF054D"/>
    <w:rsid w:val="00BF1854"/>
    <w:rsid w:val="00BF3D3C"/>
    <w:rsid w:val="00BF4256"/>
    <w:rsid w:val="00C00DAD"/>
    <w:rsid w:val="00C03525"/>
    <w:rsid w:val="00C0763C"/>
    <w:rsid w:val="00C07F9B"/>
    <w:rsid w:val="00C13673"/>
    <w:rsid w:val="00C136CE"/>
    <w:rsid w:val="00C15C32"/>
    <w:rsid w:val="00C179C9"/>
    <w:rsid w:val="00C238DD"/>
    <w:rsid w:val="00C23FBE"/>
    <w:rsid w:val="00C24775"/>
    <w:rsid w:val="00C30973"/>
    <w:rsid w:val="00C31894"/>
    <w:rsid w:val="00C32266"/>
    <w:rsid w:val="00C37E12"/>
    <w:rsid w:val="00C4086A"/>
    <w:rsid w:val="00C40FA2"/>
    <w:rsid w:val="00C4201C"/>
    <w:rsid w:val="00C464F8"/>
    <w:rsid w:val="00C46C5A"/>
    <w:rsid w:val="00C50A7F"/>
    <w:rsid w:val="00C525F2"/>
    <w:rsid w:val="00C53909"/>
    <w:rsid w:val="00C53C7A"/>
    <w:rsid w:val="00C558CE"/>
    <w:rsid w:val="00C57840"/>
    <w:rsid w:val="00C6207F"/>
    <w:rsid w:val="00C6239B"/>
    <w:rsid w:val="00C624F7"/>
    <w:rsid w:val="00C62AC2"/>
    <w:rsid w:val="00C649A8"/>
    <w:rsid w:val="00C659EF"/>
    <w:rsid w:val="00C65B08"/>
    <w:rsid w:val="00C65EBE"/>
    <w:rsid w:val="00C67059"/>
    <w:rsid w:val="00C734E3"/>
    <w:rsid w:val="00C7512E"/>
    <w:rsid w:val="00C758AD"/>
    <w:rsid w:val="00C759A0"/>
    <w:rsid w:val="00C75B9E"/>
    <w:rsid w:val="00C768C5"/>
    <w:rsid w:val="00C80BFB"/>
    <w:rsid w:val="00C81236"/>
    <w:rsid w:val="00C82E24"/>
    <w:rsid w:val="00C835FF"/>
    <w:rsid w:val="00C85056"/>
    <w:rsid w:val="00C85972"/>
    <w:rsid w:val="00C86B1B"/>
    <w:rsid w:val="00C87690"/>
    <w:rsid w:val="00C91A33"/>
    <w:rsid w:val="00C9499A"/>
    <w:rsid w:val="00C94CBE"/>
    <w:rsid w:val="00C978C2"/>
    <w:rsid w:val="00CA0361"/>
    <w:rsid w:val="00CA06D7"/>
    <w:rsid w:val="00CA1F29"/>
    <w:rsid w:val="00CA214A"/>
    <w:rsid w:val="00CA3ACC"/>
    <w:rsid w:val="00CA432C"/>
    <w:rsid w:val="00CA684F"/>
    <w:rsid w:val="00CA7707"/>
    <w:rsid w:val="00CB11FA"/>
    <w:rsid w:val="00CB1732"/>
    <w:rsid w:val="00CB1922"/>
    <w:rsid w:val="00CB3294"/>
    <w:rsid w:val="00CB3839"/>
    <w:rsid w:val="00CB470D"/>
    <w:rsid w:val="00CB6006"/>
    <w:rsid w:val="00CB7407"/>
    <w:rsid w:val="00CB7C48"/>
    <w:rsid w:val="00CB7E31"/>
    <w:rsid w:val="00CB7ECE"/>
    <w:rsid w:val="00CC17E4"/>
    <w:rsid w:val="00CC2A49"/>
    <w:rsid w:val="00CC2DFB"/>
    <w:rsid w:val="00CC47E3"/>
    <w:rsid w:val="00CC5E66"/>
    <w:rsid w:val="00CC7849"/>
    <w:rsid w:val="00CD1C7B"/>
    <w:rsid w:val="00CD2139"/>
    <w:rsid w:val="00CD7FA4"/>
    <w:rsid w:val="00CF0188"/>
    <w:rsid w:val="00CF058B"/>
    <w:rsid w:val="00CF3E08"/>
    <w:rsid w:val="00CF4D76"/>
    <w:rsid w:val="00CF538C"/>
    <w:rsid w:val="00CF55A3"/>
    <w:rsid w:val="00CF73D6"/>
    <w:rsid w:val="00CF7C35"/>
    <w:rsid w:val="00D00ADB"/>
    <w:rsid w:val="00D0362A"/>
    <w:rsid w:val="00D0534A"/>
    <w:rsid w:val="00D05DC4"/>
    <w:rsid w:val="00D110E4"/>
    <w:rsid w:val="00D11607"/>
    <w:rsid w:val="00D1441E"/>
    <w:rsid w:val="00D144DB"/>
    <w:rsid w:val="00D14EA8"/>
    <w:rsid w:val="00D16303"/>
    <w:rsid w:val="00D175BC"/>
    <w:rsid w:val="00D21C8D"/>
    <w:rsid w:val="00D26BDC"/>
    <w:rsid w:val="00D31309"/>
    <w:rsid w:val="00D31C47"/>
    <w:rsid w:val="00D31E96"/>
    <w:rsid w:val="00D330BD"/>
    <w:rsid w:val="00D335A9"/>
    <w:rsid w:val="00D3473B"/>
    <w:rsid w:val="00D35B12"/>
    <w:rsid w:val="00D3698F"/>
    <w:rsid w:val="00D37348"/>
    <w:rsid w:val="00D457AD"/>
    <w:rsid w:val="00D46AE5"/>
    <w:rsid w:val="00D50689"/>
    <w:rsid w:val="00D50B38"/>
    <w:rsid w:val="00D50FAC"/>
    <w:rsid w:val="00D535C8"/>
    <w:rsid w:val="00D60117"/>
    <w:rsid w:val="00D6125B"/>
    <w:rsid w:val="00D63BFF"/>
    <w:rsid w:val="00D67937"/>
    <w:rsid w:val="00D67AEC"/>
    <w:rsid w:val="00D70344"/>
    <w:rsid w:val="00D70B3E"/>
    <w:rsid w:val="00D726B9"/>
    <w:rsid w:val="00D72C44"/>
    <w:rsid w:val="00D73419"/>
    <w:rsid w:val="00D740DE"/>
    <w:rsid w:val="00D745B5"/>
    <w:rsid w:val="00D75927"/>
    <w:rsid w:val="00D75C9B"/>
    <w:rsid w:val="00D7732F"/>
    <w:rsid w:val="00D80998"/>
    <w:rsid w:val="00D8194B"/>
    <w:rsid w:val="00D87D01"/>
    <w:rsid w:val="00D901B7"/>
    <w:rsid w:val="00D90A52"/>
    <w:rsid w:val="00D91149"/>
    <w:rsid w:val="00D92E40"/>
    <w:rsid w:val="00D96853"/>
    <w:rsid w:val="00D96F7D"/>
    <w:rsid w:val="00DA05BB"/>
    <w:rsid w:val="00DA0895"/>
    <w:rsid w:val="00DA1227"/>
    <w:rsid w:val="00DA12BF"/>
    <w:rsid w:val="00DA27E2"/>
    <w:rsid w:val="00DA314D"/>
    <w:rsid w:val="00DA40BD"/>
    <w:rsid w:val="00DA40F9"/>
    <w:rsid w:val="00DA438C"/>
    <w:rsid w:val="00DA56A2"/>
    <w:rsid w:val="00DA592E"/>
    <w:rsid w:val="00DA6671"/>
    <w:rsid w:val="00DB19B7"/>
    <w:rsid w:val="00DB23C6"/>
    <w:rsid w:val="00DB259F"/>
    <w:rsid w:val="00DB5E6D"/>
    <w:rsid w:val="00DC1CDD"/>
    <w:rsid w:val="00DC1D07"/>
    <w:rsid w:val="00DC2115"/>
    <w:rsid w:val="00DC56A4"/>
    <w:rsid w:val="00DC62EF"/>
    <w:rsid w:val="00DD04CD"/>
    <w:rsid w:val="00DD0C65"/>
    <w:rsid w:val="00DD0D20"/>
    <w:rsid w:val="00DD0F66"/>
    <w:rsid w:val="00DD17BE"/>
    <w:rsid w:val="00DD5789"/>
    <w:rsid w:val="00DD5F1D"/>
    <w:rsid w:val="00DD5F82"/>
    <w:rsid w:val="00DE0E13"/>
    <w:rsid w:val="00DE379A"/>
    <w:rsid w:val="00DE396A"/>
    <w:rsid w:val="00DE542C"/>
    <w:rsid w:val="00DF0892"/>
    <w:rsid w:val="00DF1A66"/>
    <w:rsid w:val="00DF2759"/>
    <w:rsid w:val="00DF548C"/>
    <w:rsid w:val="00DF7C5E"/>
    <w:rsid w:val="00E00CDB"/>
    <w:rsid w:val="00E048D7"/>
    <w:rsid w:val="00E05117"/>
    <w:rsid w:val="00E05B53"/>
    <w:rsid w:val="00E05CDC"/>
    <w:rsid w:val="00E07AB2"/>
    <w:rsid w:val="00E07D07"/>
    <w:rsid w:val="00E07FBB"/>
    <w:rsid w:val="00E10302"/>
    <w:rsid w:val="00E11E69"/>
    <w:rsid w:val="00E1359C"/>
    <w:rsid w:val="00E13DC5"/>
    <w:rsid w:val="00E22743"/>
    <w:rsid w:val="00E22CE0"/>
    <w:rsid w:val="00E2343C"/>
    <w:rsid w:val="00E23880"/>
    <w:rsid w:val="00E23BEE"/>
    <w:rsid w:val="00E264AA"/>
    <w:rsid w:val="00E271F0"/>
    <w:rsid w:val="00E3023B"/>
    <w:rsid w:val="00E34E24"/>
    <w:rsid w:val="00E3584A"/>
    <w:rsid w:val="00E3785A"/>
    <w:rsid w:val="00E37A55"/>
    <w:rsid w:val="00E43235"/>
    <w:rsid w:val="00E45A91"/>
    <w:rsid w:val="00E475C8"/>
    <w:rsid w:val="00E5027B"/>
    <w:rsid w:val="00E50800"/>
    <w:rsid w:val="00E50B2A"/>
    <w:rsid w:val="00E5244E"/>
    <w:rsid w:val="00E52D9D"/>
    <w:rsid w:val="00E54349"/>
    <w:rsid w:val="00E578AD"/>
    <w:rsid w:val="00E608CB"/>
    <w:rsid w:val="00E60993"/>
    <w:rsid w:val="00E63545"/>
    <w:rsid w:val="00E6705F"/>
    <w:rsid w:val="00E67795"/>
    <w:rsid w:val="00E679F2"/>
    <w:rsid w:val="00E72E2C"/>
    <w:rsid w:val="00E752D5"/>
    <w:rsid w:val="00E761AF"/>
    <w:rsid w:val="00E7658A"/>
    <w:rsid w:val="00E809A4"/>
    <w:rsid w:val="00E823F1"/>
    <w:rsid w:val="00E82EE8"/>
    <w:rsid w:val="00E834E7"/>
    <w:rsid w:val="00E854F3"/>
    <w:rsid w:val="00E86484"/>
    <w:rsid w:val="00E929CE"/>
    <w:rsid w:val="00E952FD"/>
    <w:rsid w:val="00E96D24"/>
    <w:rsid w:val="00E97EDF"/>
    <w:rsid w:val="00EA04F4"/>
    <w:rsid w:val="00EA0D87"/>
    <w:rsid w:val="00EA385A"/>
    <w:rsid w:val="00EB4FED"/>
    <w:rsid w:val="00EC18F5"/>
    <w:rsid w:val="00EC2A35"/>
    <w:rsid w:val="00EC3317"/>
    <w:rsid w:val="00EC4C96"/>
    <w:rsid w:val="00EC4D07"/>
    <w:rsid w:val="00ED0B34"/>
    <w:rsid w:val="00ED1421"/>
    <w:rsid w:val="00ED43DA"/>
    <w:rsid w:val="00ED4EE6"/>
    <w:rsid w:val="00ED6C40"/>
    <w:rsid w:val="00EE0AFC"/>
    <w:rsid w:val="00EE2745"/>
    <w:rsid w:val="00EE28CC"/>
    <w:rsid w:val="00EE31B0"/>
    <w:rsid w:val="00EE4A39"/>
    <w:rsid w:val="00EE5E74"/>
    <w:rsid w:val="00EE773F"/>
    <w:rsid w:val="00EF2B4A"/>
    <w:rsid w:val="00EF792B"/>
    <w:rsid w:val="00EF7B87"/>
    <w:rsid w:val="00EF7D85"/>
    <w:rsid w:val="00F01C73"/>
    <w:rsid w:val="00F04727"/>
    <w:rsid w:val="00F068FD"/>
    <w:rsid w:val="00F07526"/>
    <w:rsid w:val="00F20141"/>
    <w:rsid w:val="00F2017A"/>
    <w:rsid w:val="00F22DB5"/>
    <w:rsid w:val="00F22F05"/>
    <w:rsid w:val="00F2399F"/>
    <w:rsid w:val="00F33E74"/>
    <w:rsid w:val="00F353A4"/>
    <w:rsid w:val="00F36792"/>
    <w:rsid w:val="00F36FF1"/>
    <w:rsid w:val="00F41594"/>
    <w:rsid w:val="00F41F71"/>
    <w:rsid w:val="00F44532"/>
    <w:rsid w:val="00F44EAB"/>
    <w:rsid w:val="00F46D80"/>
    <w:rsid w:val="00F5104F"/>
    <w:rsid w:val="00F53929"/>
    <w:rsid w:val="00F56AFF"/>
    <w:rsid w:val="00F607E4"/>
    <w:rsid w:val="00F62697"/>
    <w:rsid w:val="00F627D4"/>
    <w:rsid w:val="00F64726"/>
    <w:rsid w:val="00F6719E"/>
    <w:rsid w:val="00F7029F"/>
    <w:rsid w:val="00F76855"/>
    <w:rsid w:val="00F812C4"/>
    <w:rsid w:val="00F81948"/>
    <w:rsid w:val="00F829D6"/>
    <w:rsid w:val="00F82BB4"/>
    <w:rsid w:val="00F84F94"/>
    <w:rsid w:val="00F857D4"/>
    <w:rsid w:val="00F870AC"/>
    <w:rsid w:val="00F92942"/>
    <w:rsid w:val="00F949A2"/>
    <w:rsid w:val="00FA119D"/>
    <w:rsid w:val="00FA1BAE"/>
    <w:rsid w:val="00FA2EAA"/>
    <w:rsid w:val="00FA2FCF"/>
    <w:rsid w:val="00FA58F8"/>
    <w:rsid w:val="00FA5CBC"/>
    <w:rsid w:val="00FB0109"/>
    <w:rsid w:val="00FB0FEC"/>
    <w:rsid w:val="00FB1BF6"/>
    <w:rsid w:val="00FB32E7"/>
    <w:rsid w:val="00FB3647"/>
    <w:rsid w:val="00FC3437"/>
    <w:rsid w:val="00FC3B2C"/>
    <w:rsid w:val="00FC3D71"/>
    <w:rsid w:val="00FC3E4A"/>
    <w:rsid w:val="00FC746E"/>
    <w:rsid w:val="00FD044E"/>
    <w:rsid w:val="00FD425E"/>
    <w:rsid w:val="00FD56CE"/>
    <w:rsid w:val="00FD632A"/>
    <w:rsid w:val="00FD6C64"/>
    <w:rsid w:val="00FD6F01"/>
    <w:rsid w:val="00FD7C79"/>
    <w:rsid w:val="00FE1264"/>
    <w:rsid w:val="00FE143C"/>
    <w:rsid w:val="00FE70D1"/>
    <w:rsid w:val="00FF12C1"/>
    <w:rsid w:val="00FF265A"/>
    <w:rsid w:val="00FF574F"/>
    <w:rsid w:val="00FF5CEB"/>
    <w:rsid w:val="00FF6249"/>
    <w:rsid w:val="00FF6F47"/>
    <w:rsid w:val="00FF7D29"/>
    <w:rsid w:val="010D6029"/>
    <w:rsid w:val="01521C8D"/>
    <w:rsid w:val="017165B7"/>
    <w:rsid w:val="017240DE"/>
    <w:rsid w:val="01830099"/>
    <w:rsid w:val="01A249C3"/>
    <w:rsid w:val="01DD1E9F"/>
    <w:rsid w:val="01E274B5"/>
    <w:rsid w:val="02810A7C"/>
    <w:rsid w:val="029E0213"/>
    <w:rsid w:val="02A209F3"/>
    <w:rsid w:val="02D70CA8"/>
    <w:rsid w:val="03265180"/>
    <w:rsid w:val="0375236A"/>
    <w:rsid w:val="03A17D8C"/>
    <w:rsid w:val="042E253E"/>
    <w:rsid w:val="04AE367F"/>
    <w:rsid w:val="04B816FA"/>
    <w:rsid w:val="0517561D"/>
    <w:rsid w:val="05432019"/>
    <w:rsid w:val="05656433"/>
    <w:rsid w:val="05681A7F"/>
    <w:rsid w:val="058D2A06"/>
    <w:rsid w:val="05926C96"/>
    <w:rsid w:val="05F971BE"/>
    <w:rsid w:val="061E65E2"/>
    <w:rsid w:val="061F5DD8"/>
    <w:rsid w:val="06361B7E"/>
    <w:rsid w:val="066F6337"/>
    <w:rsid w:val="06CF583A"/>
    <w:rsid w:val="06FA2BAB"/>
    <w:rsid w:val="071B02F8"/>
    <w:rsid w:val="07AA6969"/>
    <w:rsid w:val="07EA70C4"/>
    <w:rsid w:val="080C0E25"/>
    <w:rsid w:val="08403721"/>
    <w:rsid w:val="084F1FE0"/>
    <w:rsid w:val="088C3CD7"/>
    <w:rsid w:val="08AE1E9F"/>
    <w:rsid w:val="08D036BA"/>
    <w:rsid w:val="0922463B"/>
    <w:rsid w:val="0923288D"/>
    <w:rsid w:val="096B4234"/>
    <w:rsid w:val="09A908B6"/>
    <w:rsid w:val="09AF0DE1"/>
    <w:rsid w:val="09AF5ECF"/>
    <w:rsid w:val="09C0632E"/>
    <w:rsid w:val="09C35E1E"/>
    <w:rsid w:val="09DA09D5"/>
    <w:rsid w:val="09F935EE"/>
    <w:rsid w:val="0A454A85"/>
    <w:rsid w:val="0A820A57"/>
    <w:rsid w:val="0A876E4C"/>
    <w:rsid w:val="0AB05EE0"/>
    <w:rsid w:val="0AB80DB3"/>
    <w:rsid w:val="0ABB0FE7"/>
    <w:rsid w:val="0B043FF8"/>
    <w:rsid w:val="0B045AE4"/>
    <w:rsid w:val="0B05431F"/>
    <w:rsid w:val="0B5A4560"/>
    <w:rsid w:val="0B806056"/>
    <w:rsid w:val="0B9F3D21"/>
    <w:rsid w:val="0BBC48D3"/>
    <w:rsid w:val="0BF57DE5"/>
    <w:rsid w:val="0C4C3EA9"/>
    <w:rsid w:val="0C4F5747"/>
    <w:rsid w:val="0C5C7E64"/>
    <w:rsid w:val="0CAC4948"/>
    <w:rsid w:val="0CDF2F6F"/>
    <w:rsid w:val="0CF62067"/>
    <w:rsid w:val="0D201F82"/>
    <w:rsid w:val="0D5A25F6"/>
    <w:rsid w:val="0DF26CD2"/>
    <w:rsid w:val="0E4F69B7"/>
    <w:rsid w:val="0E827FCA"/>
    <w:rsid w:val="0EED324D"/>
    <w:rsid w:val="0EF055F1"/>
    <w:rsid w:val="0F8616E6"/>
    <w:rsid w:val="0FE443F8"/>
    <w:rsid w:val="101822F4"/>
    <w:rsid w:val="104D01F0"/>
    <w:rsid w:val="1053332C"/>
    <w:rsid w:val="105A290D"/>
    <w:rsid w:val="10B26D53"/>
    <w:rsid w:val="10EA5A3E"/>
    <w:rsid w:val="11020FDA"/>
    <w:rsid w:val="110765F0"/>
    <w:rsid w:val="11160F29"/>
    <w:rsid w:val="1127475F"/>
    <w:rsid w:val="115F642C"/>
    <w:rsid w:val="117143B2"/>
    <w:rsid w:val="11C049F1"/>
    <w:rsid w:val="11F34DC7"/>
    <w:rsid w:val="11F36B75"/>
    <w:rsid w:val="12042500"/>
    <w:rsid w:val="12244F80"/>
    <w:rsid w:val="122D652B"/>
    <w:rsid w:val="12435D4E"/>
    <w:rsid w:val="126B3663"/>
    <w:rsid w:val="127C4DBC"/>
    <w:rsid w:val="12CF75E2"/>
    <w:rsid w:val="12D6271E"/>
    <w:rsid w:val="12F71682"/>
    <w:rsid w:val="13117BFA"/>
    <w:rsid w:val="13144FF5"/>
    <w:rsid w:val="131E37BA"/>
    <w:rsid w:val="13274D28"/>
    <w:rsid w:val="132E1A6F"/>
    <w:rsid w:val="13545D39"/>
    <w:rsid w:val="13771292"/>
    <w:rsid w:val="138163B8"/>
    <w:rsid w:val="13833F28"/>
    <w:rsid w:val="13BD568C"/>
    <w:rsid w:val="143676D8"/>
    <w:rsid w:val="1468384A"/>
    <w:rsid w:val="146B333A"/>
    <w:rsid w:val="147F18E5"/>
    <w:rsid w:val="148D67BF"/>
    <w:rsid w:val="14E54E9B"/>
    <w:rsid w:val="14F1386F"/>
    <w:rsid w:val="150D43F1"/>
    <w:rsid w:val="155D7127"/>
    <w:rsid w:val="15604521"/>
    <w:rsid w:val="15C47B10"/>
    <w:rsid w:val="16485D07"/>
    <w:rsid w:val="165C118C"/>
    <w:rsid w:val="168124AC"/>
    <w:rsid w:val="16AD7C3A"/>
    <w:rsid w:val="17400AAE"/>
    <w:rsid w:val="17705EFF"/>
    <w:rsid w:val="17A96653"/>
    <w:rsid w:val="18005B14"/>
    <w:rsid w:val="18510A99"/>
    <w:rsid w:val="18860743"/>
    <w:rsid w:val="188E26D1"/>
    <w:rsid w:val="18A137CE"/>
    <w:rsid w:val="18D019BE"/>
    <w:rsid w:val="18F3244D"/>
    <w:rsid w:val="190B0C48"/>
    <w:rsid w:val="194F0C05"/>
    <w:rsid w:val="19622F5E"/>
    <w:rsid w:val="19CA28B1"/>
    <w:rsid w:val="19D76D7C"/>
    <w:rsid w:val="1A11228E"/>
    <w:rsid w:val="1A6C1BBA"/>
    <w:rsid w:val="1A824F3A"/>
    <w:rsid w:val="1AA66E7A"/>
    <w:rsid w:val="1AB71087"/>
    <w:rsid w:val="1ABE296B"/>
    <w:rsid w:val="1ACD08AB"/>
    <w:rsid w:val="1ACE017F"/>
    <w:rsid w:val="1AE14356"/>
    <w:rsid w:val="1AE75EC6"/>
    <w:rsid w:val="1AF04599"/>
    <w:rsid w:val="1B09565B"/>
    <w:rsid w:val="1B252495"/>
    <w:rsid w:val="1B53477D"/>
    <w:rsid w:val="1B802E11"/>
    <w:rsid w:val="1BB965A2"/>
    <w:rsid w:val="1C33298F"/>
    <w:rsid w:val="1CD119CB"/>
    <w:rsid w:val="1D2D6A71"/>
    <w:rsid w:val="1DC37D43"/>
    <w:rsid w:val="1DF148B0"/>
    <w:rsid w:val="1DF779ED"/>
    <w:rsid w:val="1E026ABD"/>
    <w:rsid w:val="1E122A78"/>
    <w:rsid w:val="1E5D1F46"/>
    <w:rsid w:val="1E6813C8"/>
    <w:rsid w:val="1E8731EE"/>
    <w:rsid w:val="1EA50B92"/>
    <w:rsid w:val="1EF83A1C"/>
    <w:rsid w:val="1EFA3C38"/>
    <w:rsid w:val="1F2617F7"/>
    <w:rsid w:val="1F737547"/>
    <w:rsid w:val="1FD72C61"/>
    <w:rsid w:val="1FFB1A16"/>
    <w:rsid w:val="208E288A"/>
    <w:rsid w:val="20D34741"/>
    <w:rsid w:val="21020B82"/>
    <w:rsid w:val="214C62A1"/>
    <w:rsid w:val="21AB2FC8"/>
    <w:rsid w:val="22093DBC"/>
    <w:rsid w:val="221548E5"/>
    <w:rsid w:val="222B4907"/>
    <w:rsid w:val="22995B0D"/>
    <w:rsid w:val="22AC349C"/>
    <w:rsid w:val="22AF0896"/>
    <w:rsid w:val="22D73471"/>
    <w:rsid w:val="231A6657"/>
    <w:rsid w:val="231C6E1D"/>
    <w:rsid w:val="23F020BE"/>
    <w:rsid w:val="24450BC8"/>
    <w:rsid w:val="24547947"/>
    <w:rsid w:val="246851A0"/>
    <w:rsid w:val="24982924"/>
    <w:rsid w:val="24B71C84"/>
    <w:rsid w:val="24BB79C6"/>
    <w:rsid w:val="24CF6FCD"/>
    <w:rsid w:val="2551032A"/>
    <w:rsid w:val="2572277A"/>
    <w:rsid w:val="25DF0E9D"/>
    <w:rsid w:val="261C26E6"/>
    <w:rsid w:val="269C3827"/>
    <w:rsid w:val="270311B0"/>
    <w:rsid w:val="27313F6F"/>
    <w:rsid w:val="286F11F3"/>
    <w:rsid w:val="287B7B98"/>
    <w:rsid w:val="288E455E"/>
    <w:rsid w:val="28AF7842"/>
    <w:rsid w:val="28BE7A85"/>
    <w:rsid w:val="29475CCC"/>
    <w:rsid w:val="295E6B72"/>
    <w:rsid w:val="298011DE"/>
    <w:rsid w:val="2A13795C"/>
    <w:rsid w:val="2A495A74"/>
    <w:rsid w:val="2A581813"/>
    <w:rsid w:val="2A7725E1"/>
    <w:rsid w:val="2A9F7442"/>
    <w:rsid w:val="2AD443B0"/>
    <w:rsid w:val="2B1971F4"/>
    <w:rsid w:val="2B395AE8"/>
    <w:rsid w:val="2B3D7CB2"/>
    <w:rsid w:val="2B4029D3"/>
    <w:rsid w:val="2B612949"/>
    <w:rsid w:val="2BC2163A"/>
    <w:rsid w:val="2BC633D1"/>
    <w:rsid w:val="2BC90C1A"/>
    <w:rsid w:val="2BCC2D4B"/>
    <w:rsid w:val="2C11611D"/>
    <w:rsid w:val="2C602C01"/>
    <w:rsid w:val="2C606270"/>
    <w:rsid w:val="2C6941AB"/>
    <w:rsid w:val="2C8B5ED0"/>
    <w:rsid w:val="2DBB0A37"/>
    <w:rsid w:val="2DF370F9"/>
    <w:rsid w:val="2E0F48DF"/>
    <w:rsid w:val="2EBF00B3"/>
    <w:rsid w:val="2ECD0A22"/>
    <w:rsid w:val="2EDE49DD"/>
    <w:rsid w:val="2EE30245"/>
    <w:rsid w:val="2EF66521"/>
    <w:rsid w:val="2F097580"/>
    <w:rsid w:val="2F430CE4"/>
    <w:rsid w:val="2FB4573E"/>
    <w:rsid w:val="2FCA4F61"/>
    <w:rsid w:val="301D18C2"/>
    <w:rsid w:val="3029612C"/>
    <w:rsid w:val="30382E98"/>
    <w:rsid w:val="3049057C"/>
    <w:rsid w:val="30542A7D"/>
    <w:rsid w:val="305B205D"/>
    <w:rsid w:val="30781B9B"/>
    <w:rsid w:val="30D140CD"/>
    <w:rsid w:val="30E6401D"/>
    <w:rsid w:val="31061FC9"/>
    <w:rsid w:val="3135465C"/>
    <w:rsid w:val="31815D19"/>
    <w:rsid w:val="31A6690B"/>
    <w:rsid w:val="31D04A59"/>
    <w:rsid w:val="31E85B72"/>
    <w:rsid w:val="320109DE"/>
    <w:rsid w:val="32081D71"/>
    <w:rsid w:val="324C4353"/>
    <w:rsid w:val="327D275F"/>
    <w:rsid w:val="32A25D21"/>
    <w:rsid w:val="32AF7DA9"/>
    <w:rsid w:val="32C35685"/>
    <w:rsid w:val="331704BD"/>
    <w:rsid w:val="339C6C14"/>
    <w:rsid w:val="33B0446E"/>
    <w:rsid w:val="33BF2903"/>
    <w:rsid w:val="33D77C4D"/>
    <w:rsid w:val="33EC7B9C"/>
    <w:rsid w:val="33ED7470"/>
    <w:rsid w:val="343D03F7"/>
    <w:rsid w:val="344352E2"/>
    <w:rsid w:val="34722267"/>
    <w:rsid w:val="347B2CCE"/>
    <w:rsid w:val="34930017"/>
    <w:rsid w:val="34BD5094"/>
    <w:rsid w:val="353F1F4D"/>
    <w:rsid w:val="354475BF"/>
    <w:rsid w:val="358834AE"/>
    <w:rsid w:val="359D0A22"/>
    <w:rsid w:val="361E7976"/>
    <w:rsid w:val="36260A17"/>
    <w:rsid w:val="36435A6D"/>
    <w:rsid w:val="36985DB9"/>
    <w:rsid w:val="36BA5D2F"/>
    <w:rsid w:val="36D05553"/>
    <w:rsid w:val="36D84407"/>
    <w:rsid w:val="37D90437"/>
    <w:rsid w:val="381E5E4A"/>
    <w:rsid w:val="383C2774"/>
    <w:rsid w:val="38AA3B82"/>
    <w:rsid w:val="38B67CF6"/>
    <w:rsid w:val="38D60A22"/>
    <w:rsid w:val="38F4304F"/>
    <w:rsid w:val="39732BBB"/>
    <w:rsid w:val="398E34A3"/>
    <w:rsid w:val="3A3D6E3F"/>
    <w:rsid w:val="3A4678DA"/>
    <w:rsid w:val="3A751F6D"/>
    <w:rsid w:val="3A9B273C"/>
    <w:rsid w:val="3AA12D62"/>
    <w:rsid w:val="3AB53134"/>
    <w:rsid w:val="3AC727C9"/>
    <w:rsid w:val="3AE570F3"/>
    <w:rsid w:val="3AEE6601"/>
    <w:rsid w:val="3B906DD2"/>
    <w:rsid w:val="3C1852A6"/>
    <w:rsid w:val="3C1C4D96"/>
    <w:rsid w:val="3C316275"/>
    <w:rsid w:val="3D3954D4"/>
    <w:rsid w:val="3D566086"/>
    <w:rsid w:val="3D7E738B"/>
    <w:rsid w:val="3D98044D"/>
    <w:rsid w:val="3DA768E2"/>
    <w:rsid w:val="3DD84CED"/>
    <w:rsid w:val="3DDA2813"/>
    <w:rsid w:val="3E7D081A"/>
    <w:rsid w:val="3E9E0B8B"/>
    <w:rsid w:val="3EAA0C22"/>
    <w:rsid w:val="3EAB3BD2"/>
    <w:rsid w:val="3F051B12"/>
    <w:rsid w:val="3F110067"/>
    <w:rsid w:val="3F5B5BD6"/>
    <w:rsid w:val="3FA72BC9"/>
    <w:rsid w:val="3FD634AE"/>
    <w:rsid w:val="3FF322B2"/>
    <w:rsid w:val="40026051"/>
    <w:rsid w:val="40420B44"/>
    <w:rsid w:val="410127AD"/>
    <w:rsid w:val="415E7BFF"/>
    <w:rsid w:val="41874A60"/>
    <w:rsid w:val="419B49AF"/>
    <w:rsid w:val="43244531"/>
    <w:rsid w:val="432B58BF"/>
    <w:rsid w:val="43C867AC"/>
    <w:rsid w:val="44444E8A"/>
    <w:rsid w:val="44446C38"/>
    <w:rsid w:val="44D501D8"/>
    <w:rsid w:val="454315E6"/>
    <w:rsid w:val="45F4643C"/>
    <w:rsid w:val="46132D66"/>
    <w:rsid w:val="46241B05"/>
    <w:rsid w:val="462F1B6A"/>
    <w:rsid w:val="465D33FD"/>
    <w:rsid w:val="468A0B4E"/>
    <w:rsid w:val="46A71700"/>
    <w:rsid w:val="46B34549"/>
    <w:rsid w:val="46CC1E24"/>
    <w:rsid w:val="46CD0AAD"/>
    <w:rsid w:val="471C5C4A"/>
    <w:rsid w:val="474538BA"/>
    <w:rsid w:val="47A53E92"/>
    <w:rsid w:val="483D231C"/>
    <w:rsid w:val="48F30C2D"/>
    <w:rsid w:val="49227764"/>
    <w:rsid w:val="492928A1"/>
    <w:rsid w:val="49380D36"/>
    <w:rsid w:val="4954371F"/>
    <w:rsid w:val="499A554C"/>
    <w:rsid w:val="4A3643FB"/>
    <w:rsid w:val="4A477482"/>
    <w:rsid w:val="4AD66A58"/>
    <w:rsid w:val="4B074E64"/>
    <w:rsid w:val="4BA97CC9"/>
    <w:rsid w:val="4BBA3C84"/>
    <w:rsid w:val="4BC52D55"/>
    <w:rsid w:val="4BEC4931"/>
    <w:rsid w:val="4C143394"/>
    <w:rsid w:val="4D5048A0"/>
    <w:rsid w:val="4D9C7AE5"/>
    <w:rsid w:val="4DF92B35"/>
    <w:rsid w:val="4E04568A"/>
    <w:rsid w:val="4E234F7C"/>
    <w:rsid w:val="4E526841"/>
    <w:rsid w:val="4E6F0D56"/>
    <w:rsid w:val="4FA64C4B"/>
    <w:rsid w:val="4FB576D8"/>
    <w:rsid w:val="4FCA1EDD"/>
    <w:rsid w:val="4FDA66A3"/>
    <w:rsid w:val="5006393C"/>
    <w:rsid w:val="500876B4"/>
    <w:rsid w:val="500B0F52"/>
    <w:rsid w:val="502D711A"/>
    <w:rsid w:val="506348EA"/>
    <w:rsid w:val="50640067"/>
    <w:rsid w:val="50A92561"/>
    <w:rsid w:val="50B05655"/>
    <w:rsid w:val="510A2FB8"/>
    <w:rsid w:val="51C27D36"/>
    <w:rsid w:val="5201260D"/>
    <w:rsid w:val="52886795"/>
    <w:rsid w:val="52992845"/>
    <w:rsid w:val="52AB2578"/>
    <w:rsid w:val="52F21561"/>
    <w:rsid w:val="534D79BB"/>
    <w:rsid w:val="537312C9"/>
    <w:rsid w:val="53803A05"/>
    <w:rsid w:val="543A1E06"/>
    <w:rsid w:val="546B1FBF"/>
    <w:rsid w:val="5486504B"/>
    <w:rsid w:val="54A35BFD"/>
    <w:rsid w:val="54B35714"/>
    <w:rsid w:val="54B80855"/>
    <w:rsid w:val="54E54D3D"/>
    <w:rsid w:val="54F7031D"/>
    <w:rsid w:val="552A00CC"/>
    <w:rsid w:val="553700F3"/>
    <w:rsid w:val="55393E6B"/>
    <w:rsid w:val="55396940"/>
    <w:rsid w:val="554D7917"/>
    <w:rsid w:val="5558664A"/>
    <w:rsid w:val="55794BB0"/>
    <w:rsid w:val="56336B0D"/>
    <w:rsid w:val="565847C5"/>
    <w:rsid w:val="566B4549"/>
    <w:rsid w:val="56A96DCF"/>
    <w:rsid w:val="56CD4470"/>
    <w:rsid w:val="56F3545A"/>
    <w:rsid w:val="57080440"/>
    <w:rsid w:val="5712706A"/>
    <w:rsid w:val="572E153A"/>
    <w:rsid w:val="57511940"/>
    <w:rsid w:val="57B123DF"/>
    <w:rsid w:val="58324E4B"/>
    <w:rsid w:val="583354EA"/>
    <w:rsid w:val="5844018D"/>
    <w:rsid w:val="587F0954"/>
    <w:rsid w:val="58871392"/>
    <w:rsid w:val="5900361E"/>
    <w:rsid w:val="59100DCD"/>
    <w:rsid w:val="59927FEE"/>
    <w:rsid w:val="5B61411C"/>
    <w:rsid w:val="5BC8419B"/>
    <w:rsid w:val="5BD743DE"/>
    <w:rsid w:val="5BD91F04"/>
    <w:rsid w:val="5C0065C6"/>
    <w:rsid w:val="5C0E2525"/>
    <w:rsid w:val="5C0E6052"/>
    <w:rsid w:val="5C1C63A8"/>
    <w:rsid w:val="5C735EB5"/>
    <w:rsid w:val="5C844566"/>
    <w:rsid w:val="5C910A31"/>
    <w:rsid w:val="5CC901CB"/>
    <w:rsid w:val="5D0B2591"/>
    <w:rsid w:val="5D1B1818"/>
    <w:rsid w:val="5D290744"/>
    <w:rsid w:val="5D862C43"/>
    <w:rsid w:val="5DB42C29"/>
    <w:rsid w:val="5DC50992"/>
    <w:rsid w:val="5DC664B8"/>
    <w:rsid w:val="5DE03A1E"/>
    <w:rsid w:val="5DFC1EDA"/>
    <w:rsid w:val="5E4E4E2C"/>
    <w:rsid w:val="5E744484"/>
    <w:rsid w:val="5E785A05"/>
    <w:rsid w:val="5E9465B6"/>
    <w:rsid w:val="5ED32AE3"/>
    <w:rsid w:val="5EF645E5"/>
    <w:rsid w:val="5F3005FC"/>
    <w:rsid w:val="5F622211"/>
    <w:rsid w:val="5FB567E4"/>
    <w:rsid w:val="5FFF5CB2"/>
    <w:rsid w:val="60433DF0"/>
    <w:rsid w:val="60714E01"/>
    <w:rsid w:val="60DF620F"/>
    <w:rsid w:val="61300818"/>
    <w:rsid w:val="6170330B"/>
    <w:rsid w:val="61A641F7"/>
    <w:rsid w:val="61E86D8E"/>
    <w:rsid w:val="621912AD"/>
    <w:rsid w:val="621A5CD5"/>
    <w:rsid w:val="622D2FAA"/>
    <w:rsid w:val="624D0F56"/>
    <w:rsid w:val="62966DA1"/>
    <w:rsid w:val="6324615B"/>
    <w:rsid w:val="63643184"/>
    <w:rsid w:val="63B03E93"/>
    <w:rsid w:val="64077639"/>
    <w:rsid w:val="641F6922"/>
    <w:rsid w:val="642503DD"/>
    <w:rsid w:val="64B17EC2"/>
    <w:rsid w:val="64E831B8"/>
    <w:rsid w:val="64EA33D4"/>
    <w:rsid w:val="64EC4A56"/>
    <w:rsid w:val="64F32289"/>
    <w:rsid w:val="64F46001"/>
    <w:rsid w:val="65447A9D"/>
    <w:rsid w:val="655A0ADB"/>
    <w:rsid w:val="655C6080"/>
    <w:rsid w:val="657D1B52"/>
    <w:rsid w:val="659F5F6D"/>
    <w:rsid w:val="65CE23AE"/>
    <w:rsid w:val="65D976D1"/>
    <w:rsid w:val="6692787F"/>
    <w:rsid w:val="66BB5028"/>
    <w:rsid w:val="6759126B"/>
    <w:rsid w:val="675D60DF"/>
    <w:rsid w:val="67696832"/>
    <w:rsid w:val="67AF6668"/>
    <w:rsid w:val="68242759"/>
    <w:rsid w:val="6874548F"/>
    <w:rsid w:val="68774F7F"/>
    <w:rsid w:val="68787D82"/>
    <w:rsid w:val="68815DFE"/>
    <w:rsid w:val="68EA5751"/>
    <w:rsid w:val="693448A9"/>
    <w:rsid w:val="693D7F76"/>
    <w:rsid w:val="69A578CA"/>
    <w:rsid w:val="69D90FAF"/>
    <w:rsid w:val="69FB31EE"/>
    <w:rsid w:val="6A130CD7"/>
    <w:rsid w:val="6A246A40"/>
    <w:rsid w:val="6A5E63F6"/>
    <w:rsid w:val="6B405AFC"/>
    <w:rsid w:val="6B481D57"/>
    <w:rsid w:val="6B572E46"/>
    <w:rsid w:val="6B882FFF"/>
    <w:rsid w:val="6B8E2D0B"/>
    <w:rsid w:val="6BA0659B"/>
    <w:rsid w:val="6BA30164"/>
    <w:rsid w:val="6BD56EF7"/>
    <w:rsid w:val="6BE446D9"/>
    <w:rsid w:val="6C022DB1"/>
    <w:rsid w:val="6C060AF4"/>
    <w:rsid w:val="6C3A04AE"/>
    <w:rsid w:val="6C450EF0"/>
    <w:rsid w:val="6C64581A"/>
    <w:rsid w:val="6C6E606C"/>
    <w:rsid w:val="6C7C2B64"/>
    <w:rsid w:val="6C8847AD"/>
    <w:rsid w:val="6C9D2ADA"/>
    <w:rsid w:val="6D284A9A"/>
    <w:rsid w:val="6D3C0545"/>
    <w:rsid w:val="6D6C0E2A"/>
    <w:rsid w:val="6D8343C6"/>
    <w:rsid w:val="6DA10C75"/>
    <w:rsid w:val="6DC04CD2"/>
    <w:rsid w:val="6DF8446C"/>
    <w:rsid w:val="6DFA6436"/>
    <w:rsid w:val="6E0D4AAF"/>
    <w:rsid w:val="6E9543B1"/>
    <w:rsid w:val="6EA63EC8"/>
    <w:rsid w:val="6ED8604B"/>
    <w:rsid w:val="6EFF289D"/>
    <w:rsid w:val="6F332352"/>
    <w:rsid w:val="6F3F60CB"/>
    <w:rsid w:val="6F437969"/>
    <w:rsid w:val="6F4638FD"/>
    <w:rsid w:val="6F8B514C"/>
    <w:rsid w:val="6F977CB5"/>
    <w:rsid w:val="6FAB550E"/>
    <w:rsid w:val="6FB31E0E"/>
    <w:rsid w:val="6FFD209C"/>
    <w:rsid w:val="7036571F"/>
    <w:rsid w:val="707B416A"/>
    <w:rsid w:val="70930CB0"/>
    <w:rsid w:val="712612F0"/>
    <w:rsid w:val="71597917"/>
    <w:rsid w:val="716A38D3"/>
    <w:rsid w:val="71836742"/>
    <w:rsid w:val="719E1CBD"/>
    <w:rsid w:val="72051BD5"/>
    <w:rsid w:val="720D50B7"/>
    <w:rsid w:val="72127695"/>
    <w:rsid w:val="72477770"/>
    <w:rsid w:val="72B82A2F"/>
    <w:rsid w:val="73480D3A"/>
    <w:rsid w:val="734B6813"/>
    <w:rsid w:val="73DE4104"/>
    <w:rsid w:val="73F86BA7"/>
    <w:rsid w:val="741915E0"/>
    <w:rsid w:val="74416441"/>
    <w:rsid w:val="74454183"/>
    <w:rsid w:val="74481EBD"/>
    <w:rsid w:val="74827185"/>
    <w:rsid w:val="751A5610"/>
    <w:rsid w:val="75263FB5"/>
    <w:rsid w:val="752E2E69"/>
    <w:rsid w:val="75497CA3"/>
    <w:rsid w:val="75680129"/>
    <w:rsid w:val="75874327"/>
    <w:rsid w:val="759233F8"/>
    <w:rsid w:val="759A405B"/>
    <w:rsid w:val="75D540E8"/>
    <w:rsid w:val="7601057E"/>
    <w:rsid w:val="761756AB"/>
    <w:rsid w:val="762A53DF"/>
    <w:rsid w:val="76EE0F73"/>
    <w:rsid w:val="77297D8C"/>
    <w:rsid w:val="773253ED"/>
    <w:rsid w:val="7810264C"/>
    <w:rsid w:val="782D565A"/>
    <w:rsid w:val="786D5A56"/>
    <w:rsid w:val="788F00C3"/>
    <w:rsid w:val="78CC4E73"/>
    <w:rsid w:val="78EF6552"/>
    <w:rsid w:val="79062E3B"/>
    <w:rsid w:val="795D5ACB"/>
    <w:rsid w:val="797C0647"/>
    <w:rsid w:val="79D00993"/>
    <w:rsid w:val="79D20267"/>
    <w:rsid w:val="79F53F55"/>
    <w:rsid w:val="7A066163"/>
    <w:rsid w:val="7A0E5017"/>
    <w:rsid w:val="7A1121F8"/>
    <w:rsid w:val="7A28257D"/>
    <w:rsid w:val="7A7670B3"/>
    <w:rsid w:val="7A84329F"/>
    <w:rsid w:val="7ADD3367"/>
    <w:rsid w:val="7B0D52CF"/>
    <w:rsid w:val="7B25086A"/>
    <w:rsid w:val="7B6969A9"/>
    <w:rsid w:val="7B7524CE"/>
    <w:rsid w:val="7B8079D3"/>
    <w:rsid w:val="7BCC6F38"/>
    <w:rsid w:val="7C142DB9"/>
    <w:rsid w:val="7C174F60"/>
    <w:rsid w:val="7C6B6751"/>
    <w:rsid w:val="7C77011D"/>
    <w:rsid w:val="7C896BD7"/>
    <w:rsid w:val="7CD6006E"/>
    <w:rsid w:val="7D1312C2"/>
    <w:rsid w:val="7D490576"/>
    <w:rsid w:val="7D4F1BCF"/>
    <w:rsid w:val="7DA434BE"/>
    <w:rsid w:val="7DC75C09"/>
    <w:rsid w:val="7DD02D0F"/>
    <w:rsid w:val="7DF2712A"/>
    <w:rsid w:val="7DFC0321"/>
    <w:rsid w:val="7E524677"/>
    <w:rsid w:val="7E663674"/>
    <w:rsid w:val="7E6873EC"/>
    <w:rsid w:val="7E795155"/>
    <w:rsid w:val="7E891110"/>
    <w:rsid w:val="7E9C305C"/>
    <w:rsid w:val="7EE6106F"/>
    <w:rsid w:val="7F1906E6"/>
    <w:rsid w:val="7F82628B"/>
    <w:rsid w:val="7FA76B5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locked/>
    <w:uiPriority w:val="99"/>
    <w:pPr>
      <w:keepNext/>
      <w:keepLines/>
      <w:spacing w:before="200" w:after="200" w:line="360" w:lineRule="auto"/>
      <w:jc w:val="center"/>
      <w:outlineLvl w:val="0"/>
    </w:pPr>
    <w:rPr>
      <w:bCs/>
      <w:kern w:val="44"/>
      <w:sz w:val="44"/>
      <w:szCs w:val="44"/>
    </w:rPr>
  </w:style>
  <w:style w:type="paragraph" w:styleId="3">
    <w:name w:val="heading 2"/>
    <w:basedOn w:val="1"/>
    <w:next w:val="1"/>
    <w:link w:val="33"/>
    <w:qFormat/>
    <w:locked/>
    <w:uiPriority w:val="99"/>
    <w:pPr>
      <w:keepNext/>
      <w:keepLines/>
      <w:widowControl/>
      <w:adjustRightInd w:val="0"/>
      <w:snapToGrid w:val="0"/>
      <w:spacing w:before="120" w:after="120" w:line="360" w:lineRule="auto"/>
      <w:ind w:firstLine="560" w:firstLineChars="200"/>
      <w:jc w:val="left"/>
      <w:outlineLvl w:val="1"/>
    </w:pPr>
    <w:rPr>
      <w:rFonts w:ascii="黑体" w:hAnsi="黑体" w:eastAsia="黑体"/>
      <w:bCs/>
      <w:color w:val="000000"/>
      <w:kern w:val="0"/>
      <w:sz w:val="28"/>
    </w:rPr>
  </w:style>
  <w:style w:type="paragraph" w:styleId="4">
    <w:name w:val="heading 3"/>
    <w:basedOn w:val="1"/>
    <w:next w:val="1"/>
    <w:link w:val="41"/>
    <w:qFormat/>
    <w:locked/>
    <w:uiPriority w:val="99"/>
    <w:pPr>
      <w:keepNext/>
      <w:keepLines/>
      <w:widowControl/>
      <w:adjustRightInd w:val="0"/>
      <w:snapToGrid w:val="0"/>
      <w:spacing w:before="100" w:after="100" w:line="360" w:lineRule="auto"/>
      <w:ind w:firstLine="604" w:firstLineChars="200"/>
      <w:jc w:val="left"/>
      <w:outlineLvl w:val="2"/>
    </w:pPr>
    <w:rPr>
      <w:rFonts w:ascii="黑体" w:hAnsi="黑体" w:eastAsia="黑体"/>
      <w:spacing w:val="1"/>
      <w:kern w:val="0"/>
      <w:sz w:val="28"/>
      <w:szCs w:val="30"/>
    </w:rPr>
  </w:style>
  <w:style w:type="paragraph" w:styleId="5">
    <w:name w:val="heading 4"/>
    <w:basedOn w:val="1"/>
    <w:next w:val="1"/>
    <w:link w:val="42"/>
    <w:qFormat/>
    <w:locked/>
    <w:uiPriority w:val="99"/>
    <w:pPr>
      <w:keepNext/>
      <w:keepLines/>
      <w:widowControl/>
      <w:spacing w:before="100" w:after="100" w:line="276" w:lineRule="auto"/>
      <w:ind w:firstLine="446" w:firstLineChars="200"/>
      <w:jc w:val="left"/>
      <w:outlineLvl w:val="3"/>
    </w:pPr>
    <w:rPr>
      <w:rFonts w:ascii="宋体" w:hAnsi="宋体"/>
      <w:b/>
      <w:bCs/>
      <w:iCs/>
      <w:spacing w:val="1"/>
      <w:kern w:val="0"/>
      <w:sz w:val="22"/>
      <w:lang w:eastAsia="en-U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unhideWhenUsed/>
    <w:qFormat/>
    <w:uiPriority w:val="99"/>
    <w:rPr>
      <w:rFonts w:ascii="宋体"/>
      <w:sz w:val="18"/>
      <w:szCs w:val="18"/>
    </w:rPr>
  </w:style>
  <w:style w:type="paragraph" w:styleId="7">
    <w:name w:val="annotation text"/>
    <w:basedOn w:val="1"/>
    <w:link w:val="35"/>
    <w:unhideWhenUsed/>
    <w:qFormat/>
    <w:uiPriority w:val="99"/>
    <w:pPr>
      <w:jc w:val="left"/>
    </w:pPr>
  </w:style>
  <w:style w:type="paragraph" w:styleId="8">
    <w:name w:val="Body Text"/>
    <w:basedOn w:val="1"/>
    <w:link w:val="34"/>
    <w:qFormat/>
    <w:uiPriority w:val="0"/>
    <w:rPr>
      <w:rFonts w:ascii="Times New Roman" w:hAnsi="Times New Roman" w:eastAsia="仿宋_GB2312"/>
      <w:sz w:val="28"/>
      <w:szCs w:val="24"/>
    </w:rPr>
  </w:style>
  <w:style w:type="paragraph" w:styleId="9">
    <w:name w:val="Body Text Indent"/>
    <w:basedOn w:val="1"/>
    <w:link w:val="49"/>
    <w:qFormat/>
    <w:uiPriority w:val="0"/>
    <w:pPr>
      <w:spacing w:line="400" w:lineRule="exact"/>
      <w:ind w:firstLine="420" w:firstLineChars="200"/>
    </w:pPr>
    <w:rPr>
      <w:rFonts w:ascii="宋体" w:hAnsi="宋体"/>
      <w:kern w:val="0"/>
      <w:sz w:val="20"/>
      <w:szCs w:val="20"/>
    </w:rPr>
  </w:style>
  <w:style w:type="paragraph" w:styleId="10">
    <w:name w:val="List 2"/>
    <w:basedOn w:val="1"/>
    <w:qFormat/>
    <w:uiPriority w:val="0"/>
    <w:pPr>
      <w:widowControl/>
      <w:ind w:left="100" w:leftChars="200" w:hanging="200" w:hangingChars="200"/>
    </w:pPr>
  </w:style>
  <w:style w:type="paragraph" w:styleId="11">
    <w:name w:val="List Continue"/>
    <w:basedOn w:val="1"/>
    <w:qFormat/>
    <w:uiPriority w:val="0"/>
    <w:pPr>
      <w:spacing w:after="120"/>
      <w:ind w:left="420" w:leftChars="200"/>
      <w:contextualSpacing/>
    </w:pPr>
  </w:style>
  <w:style w:type="paragraph" w:styleId="12">
    <w:name w:val="Plain Text"/>
    <w:basedOn w:val="1"/>
    <w:link w:val="37"/>
    <w:qFormat/>
    <w:uiPriority w:val="0"/>
    <w:rPr>
      <w:rFonts w:ascii="宋体" w:hAnsi="宋体" w:cs="Courier New"/>
      <w:kern w:val="1"/>
      <w:szCs w:val="20"/>
    </w:rPr>
  </w:style>
  <w:style w:type="paragraph" w:styleId="13">
    <w:name w:val="Date"/>
    <w:basedOn w:val="1"/>
    <w:next w:val="1"/>
    <w:link w:val="46"/>
    <w:qFormat/>
    <w:uiPriority w:val="99"/>
    <w:rPr>
      <w:kern w:val="1"/>
      <w:sz w:val="24"/>
      <w:szCs w:val="20"/>
    </w:rPr>
  </w:style>
  <w:style w:type="paragraph" w:styleId="14">
    <w:name w:val="Balloon Text"/>
    <w:basedOn w:val="1"/>
    <w:link w:val="45"/>
    <w:unhideWhenUsed/>
    <w:qFormat/>
    <w:uiPriority w:val="99"/>
    <w:rPr>
      <w:sz w:val="18"/>
      <w:szCs w:val="18"/>
    </w:rPr>
  </w:style>
  <w:style w:type="paragraph" w:styleId="15">
    <w:name w:val="footer"/>
    <w:basedOn w:val="1"/>
    <w:link w:val="48"/>
    <w:qFormat/>
    <w:uiPriority w:val="99"/>
    <w:pPr>
      <w:tabs>
        <w:tab w:val="center" w:pos="4153"/>
        <w:tab w:val="right" w:pos="8306"/>
      </w:tabs>
      <w:snapToGrid w:val="0"/>
      <w:jc w:val="left"/>
    </w:pPr>
    <w:rPr>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style>
  <w:style w:type="paragraph" w:styleId="18">
    <w:name w:val="List"/>
    <w:basedOn w:val="1"/>
    <w:qFormat/>
    <w:uiPriority w:val="0"/>
    <w:pPr>
      <w:ind w:left="200" w:hanging="200" w:hangingChars="200"/>
      <w:contextualSpacing/>
    </w:pPr>
  </w:style>
  <w:style w:type="paragraph" w:styleId="19">
    <w:name w:val="footnote text"/>
    <w:basedOn w:val="1"/>
    <w:link w:val="47"/>
    <w:qFormat/>
    <w:uiPriority w:val="99"/>
    <w:pPr>
      <w:snapToGrid w:val="0"/>
      <w:jc w:val="left"/>
    </w:pPr>
    <w:rPr>
      <w:rFonts w:ascii="Times New Roman" w:hAnsi="Times New Roman"/>
      <w:sz w:val="18"/>
      <w:szCs w:val="18"/>
    </w:rPr>
  </w:style>
  <w:style w:type="paragraph" w:styleId="20">
    <w:name w:val="toc 2"/>
    <w:basedOn w:val="1"/>
    <w:next w:val="1"/>
    <w:unhideWhenUsed/>
    <w:qFormat/>
    <w:locked/>
    <w:uiPriority w:val="39"/>
    <w:pPr>
      <w:ind w:left="420" w:leftChars="200"/>
    </w:p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7"/>
    <w:next w:val="7"/>
    <w:link w:val="43"/>
    <w:unhideWhenUsed/>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locked/>
    <w:uiPriority w:val="0"/>
    <w:rPr>
      <w:b/>
      <w:bCs/>
    </w:rPr>
  </w:style>
  <w:style w:type="character" w:styleId="27">
    <w:name w:val="page number"/>
    <w:basedOn w:val="25"/>
    <w:qFormat/>
    <w:uiPriority w:val="99"/>
    <w:rPr>
      <w:rFonts w:cs="Times New Roman"/>
    </w:rPr>
  </w:style>
  <w:style w:type="character" w:styleId="28">
    <w:name w:val="FollowedHyperlink"/>
    <w:basedOn w:val="25"/>
    <w:unhideWhenUsed/>
    <w:qFormat/>
    <w:uiPriority w:val="99"/>
    <w:rPr>
      <w:color w:val="963100"/>
      <w:u w:val="none"/>
    </w:rPr>
  </w:style>
  <w:style w:type="character" w:styleId="29">
    <w:name w:val="Hyperlink"/>
    <w:basedOn w:val="25"/>
    <w:unhideWhenUsed/>
    <w:qFormat/>
    <w:uiPriority w:val="99"/>
    <w:rPr>
      <w:color w:val="0000FF"/>
      <w:u w:val="single"/>
    </w:rPr>
  </w:style>
  <w:style w:type="character" w:styleId="30">
    <w:name w:val="annotation reference"/>
    <w:basedOn w:val="25"/>
    <w:unhideWhenUsed/>
    <w:qFormat/>
    <w:uiPriority w:val="99"/>
    <w:rPr>
      <w:sz w:val="21"/>
      <w:szCs w:val="21"/>
    </w:rPr>
  </w:style>
  <w:style w:type="character" w:styleId="31">
    <w:name w:val="footnote reference"/>
    <w:qFormat/>
    <w:uiPriority w:val="99"/>
    <w:rPr>
      <w:vertAlign w:val="superscript"/>
    </w:rPr>
  </w:style>
  <w:style w:type="character" w:customStyle="1" w:styleId="32">
    <w:name w:val="标题 1 Char"/>
    <w:basedOn w:val="25"/>
    <w:link w:val="2"/>
    <w:qFormat/>
    <w:uiPriority w:val="0"/>
    <w:rPr>
      <w:rFonts w:ascii="Calibri" w:hAnsi="Calibri"/>
      <w:b/>
      <w:bCs/>
      <w:kern w:val="44"/>
      <w:sz w:val="44"/>
      <w:szCs w:val="44"/>
    </w:rPr>
  </w:style>
  <w:style w:type="character" w:customStyle="1" w:styleId="33">
    <w:name w:val="标题 2 Char"/>
    <w:basedOn w:val="25"/>
    <w:link w:val="3"/>
    <w:semiHidden/>
    <w:qFormat/>
    <w:uiPriority w:val="9"/>
    <w:rPr>
      <w:rFonts w:ascii="Cambria" w:hAnsi="Cambria" w:eastAsia="宋体" w:cs="Times New Roman"/>
      <w:b/>
      <w:bCs/>
      <w:sz w:val="32"/>
      <w:szCs w:val="32"/>
    </w:rPr>
  </w:style>
  <w:style w:type="character" w:customStyle="1" w:styleId="34">
    <w:name w:val="正文文本 Char"/>
    <w:basedOn w:val="25"/>
    <w:link w:val="8"/>
    <w:qFormat/>
    <w:uiPriority w:val="0"/>
    <w:rPr>
      <w:rFonts w:eastAsia="仿宋_GB2312"/>
      <w:kern w:val="2"/>
      <w:sz w:val="28"/>
      <w:szCs w:val="24"/>
    </w:rPr>
  </w:style>
  <w:style w:type="character" w:customStyle="1" w:styleId="35">
    <w:name w:val="批注文字 Char"/>
    <w:basedOn w:val="25"/>
    <w:link w:val="7"/>
    <w:semiHidden/>
    <w:qFormat/>
    <w:uiPriority w:val="99"/>
    <w:rPr>
      <w:rFonts w:ascii="Calibri" w:hAnsi="Calibri"/>
      <w:kern w:val="2"/>
      <w:sz w:val="21"/>
      <w:szCs w:val="22"/>
    </w:rPr>
  </w:style>
  <w:style w:type="character" w:customStyle="1" w:styleId="36">
    <w:name w:val="文档结构图 Char"/>
    <w:basedOn w:val="25"/>
    <w:link w:val="6"/>
    <w:semiHidden/>
    <w:qFormat/>
    <w:uiPriority w:val="99"/>
    <w:rPr>
      <w:rFonts w:ascii="宋体" w:hAnsi="Calibri"/>
      <w:kern w:val="2"/>
      <w:sz w:val="18"/>
      <w:szCs w:val="18"/>
    </w:rPr>
  </w:style>
  <w:style w:type="character" w:customStyle="1" w:styleId="37">
    <w:name w:val="纯文本 Char"/>
    <w:basedOn w:val="25"/>
    <w:link w:val="12"/>
    <w:qFormat/>
    <w:uiPriority w:val="0"/>
    <w:rPr>
      <w:rFonts w:ascii="宋体" w:hAnsi="Courier New" w:cs="Courier New"/>
      <w:szCs w:val="21"/>
    </w:rPr>
  </w:style>
  <w:style w:type="character" w:customStyle="1" w:styleId="38">
    <w:name w:val="正文文本 (14)_"/>
    <w:link w:val="39"/>
    <w:qFormat/>
    <w:locked/>
    <w:uiPriority w:val="99"/>
    <w:rPr>
      <w:rFonts w:ascii="MingLiU" w:eastAsia="MingLiU" w:cs="MingLiU"/>
      <w:sz w:val="18"/>
      <w:szCs w:val="18"/>
      <w:shd w:val="clear" w:color="auto" w:fill="FFFFFF"/>
    </w:rPr>
  </w:style>
  <w:style w:type="paragraph" w:customStyle="1" w:styleId="39">
    <w:name w:val="正文文本 (14)"/>
    <w:basedOn w:val="1"/>
    <w:link w:val="38"/>
    <w:qFormat/>
    <w:uiPriority w:val="99"/>
    <w:pPr>
      <w:shd w:val="clear" w:color="auto" w:fill="FFFFFF"/>
      <w:spacing w:before="300" w:line="300" w:lineRule="exact"/>
      <w:jc w:val="distribute"/>
    </w:pPr>
    <w:rPr>
      <w:rFonts w:ascii="MingLiU" w:hAnsi="Times New Roman" w:eastAsia="MingLiU"/>
      <w:kern w:val="0"/>
      <w:sz w:val="18"/>
      <w:szCs w:val="18"/>
    </w:rPr>
  </w:style>
  <w:style w:type="character" w:customStyle="1" w:styleId="40">
    <w:name w:val="red1"/>
    <w:basedOn w:val="25"/>
    <w:qFormat/>
    <w:uiPriority w:val="0"/>
    <w:rPr>
      <w:color w:val="FF0000"/>
    </w:rPr>
  </w:style>
  <w:style w:type="character" w:customStyle="1" w:styleId="41">
    <w:name w:val="标题 3 Char"/>
    <w:basedOn w:val="25"/>
    <w:link w:val="4"/>
    <w:semiHidden/>
    <w:qFormat/>
    <w:uiPriority w:val="9"/>
    <w:rPr>
      <w:rFonts w:ascii="Calibri" w:hAnsi="Calibri"/>
      <w:b/>
      <w:bCs/>
      <w:sz w:val="32"/>
      <w:szCs w:val="32"/>
    </w:rPr>
  </w:style>
  <w:style w:type="character" w:customStyle="1" w:styleId="42">
    <w:name w:val="标题 4 Char"/>
    <w:basedOn w:val="25"/>
    <w:link w:val="5"/>
    <w:semiHidden/>
    <w:qFormat/>
    <w:uiPriority w:val="9"/>
    <w:rPr>
      <w:rFonts w:ascii="Cambria" w:hAnsi="Cambria" w:eastAsia="宋体" w:cs="Times New Roman"/>
      <w:b/>
      <w:bCs/>
      <w:sz w:val="28"/>
      <w:szCs w:val="28"/>
    </w:rPr>
  </w:style>
  <w:style w:type="character" w:customStyle="1" w:styleId="43">
    <w:name w:val="批注主题 Char"/>
    <w:basedOn w:val="35"/>
    <w:link w:val="22"/>
    <w:semiHidden/>
    <w:qFormat/>
    <w:uiPriority w:val="99"/>
    <w:rPr>
      <w:rFonts w:ascii="Calibri" w:hAnsi="Calibri"/>
      <w:b/>
      <w:bCs/>
      <w:kern w:val="2"/>
      <w:sz w:val="21"/>
      <w:szCs w:val="22"/>
    </w:rPr>
  </w:style>
  <w:style w:type="character" w:customStyle="1" w:styleId="44">
    <w:name w:val="页眉 Char"/>
    <w:basedOn w:val="25"/>
    <w:link w:val="16"/>
    <w:qFormat/>
    <w:locked/>
    <w:uiPriority w:val="99"/>
    <w:rPr>
      <w:rFonts w:cs="Times New Roman"/>
      <w:kern w:val="2"/>
      <w:sz w:val="18"/>
      <w:szCs w:val="18"/>
    </w:rPr>
  </w:style>
  <w:style w:type="character" w:customStyle="1" w:styleId="45">
    <w:name w:val="批注框文本 Char"/>
    <w:basedOn w:val="25"/>
    <w:link w:val="14"/>
    <w:semiHidden/>
    <w:qFormat/>
    <w:uiPriority w:val="99"/>
    <w:rPr>
      <w:rFonts w:ascii="Calibri" w:hAnsi="Calibri"/>
      <w:kern w:val="2"/>
      <w:sz w:val="18"/>
      <w:szCs w:val="18"/>
    </w:rPr>
  </w:style>
  <w:style w:type="character" w:customStyle="1" w:styleId="46">
    <w:name w:val="日期 Char"/>
    <w:basedOn w:val="25"/>
    <w:link w:val="13"/>
    <w:semiHidden/>
    <w:qFormat/>
    <w:uiPriority w:val="99"/>
    <w:rPr>
      <w:rFonts w:ascii="Calibri" w:hAnsi="Calibri"/>
    </w:rPr>
  </w:style>
  <w:style w:type="character" w:customStyle="1" w:styleId="47">
    <w:name w:val="脚注文本 Char"/>
    <w:basedOn w:val="25"/>
    <w:link w:val="19"/>
    <w:qFormat/>
    <w:uiPriority w:val="99"/>
    <w:rPr>
      <w:kern w:val="2"/>
      <w:sz w:val="18"/>
      <w:szCs w:val="18"/>
    </w:rPr>
  </w:style>
  <w:style w:type="character" w:customStyle="1" w:styleId="48">
    <w:name w:val="页脚 Char"/>
    <w:basedOn w:val="25"/>
    <w:link w:val="15"/>
    <w:qFormat/>
    <w:locked/>
    <w:uiPriority w:val="99"/>
    <w:rPr>
      <w:rFonts w:cs="Times New Roman"/>
      <w:kern w:val="2"/>
      <w:sz w:val="18"/>
      <w:szCs w:val="18"/>
    </w:rPr>
  </w:style>
  <w:style w:type="character" w:customStyle="1" w:styleId="49">
    <w:name w:val="正文文本缩进 Char"/>
    <w:link w:val="9"/>
    <w:qFormat/>
    <w:uiPriority w:val="0"/>
    <w:rPr>
      <w:rFonts w:ascii="宋体" w:hAnsi="宋体"/>
    </w:rPr>
  </w:style>
  <w:style w:type="paragraph" w:customStyle="1" w:styleId="50">
    <w:name w:val="_Style 5"/>
    <w:basedOn w:val="2"/>
    <w:next w:val="1"/>
    <w:qFormat/>
    <w:uiPriority w:val="0"/>
    <w:pPr>
      <w:outlineLvl w:val="9"/>
    </w:pPr>
  </w:style>
  <w:style w:type="paragraph" w:customStyle="1" w:styleId="51">
    <w:name w:val="样式1"/>
    <w:basedOn w:val="1"/>
    <w:next w:val="5"/>
    <w:qFormat/>
    <w:uiPriority w:val="0"/>
    <w:pPr>
      <w:spacing w:before="120" w:after="120" w:line="300" w:lineRule="auto"/>
    </w:pPr>
    <w:rPr>
      <w:rFonts w:ascii="宋体" w:hAnsi="宋体"/>
      <w:b/>
      <w:sz w:val="24"/>
      <w:szCs w:val="20"/>
    </w:rPr>
  </w:style>
  <w:style w:type="paragraph" w:customStyle="1" w:styleId="52">
    <w:name w:val="正文_0"/>
    <w:qFormat/>
    <w:uiPriority w:val="99"/>
    <w:pPr>
      <w:widowControl w:val="0"/>
      <w:suppressAutoHyphens/>
      <w:jc w:val="both"/>
    </w:pPr>
    <w:rPr>
      <w:rFonts w:ascii="Calibri" w:hAnsi="Calibri" w:eastAsia="宋体" w:cs="Calibri"/>
      <w:kern w:val="1"/>
      <w:sz w:val="21"/>
      <w:szCs w:val="22"/>
      <w:lang w:val="en-US" w:eastAsia="zh-CN" w:bidi="ar-SA"/>
    </w:rPr>
  </w:style>
  <w:style w:type="paragraph" w:customStyle="1" w:styleId="53">
    <w:name w:val="Table Paragraph"/>
    <w:basedOn w:val="1"/>
    <w:qFormat/>
    <w:uiPriority w:val="1"/>
  </w:style>
  <w:style w:type="paragraph" w:customStyle="1" w:styleId="54">
    <w:name w:val="TOC 标题1"/>
    <w:basedOn w:val="2"/>
    <w:next w:val="1"/>
    <w:unhideWhenUsed/>
    <w:qFormat/>
    <w:uiPriority w:val="39"/>
    <w:pPr>
      <w:widowControl/>
      <w:spacing w:before="480" w:after="0" w:line="276" w:lineRule="auto"/>
      <w:jc w:val="left"/>
      <w:outlineLvl w:val="9"/>
    </w:pPr>
    <w:rPr>
      <w:rFonts w:ascii="Cambria" w:hAnsi="Cambria"/>
      <w:b/>
      <w:color w:val="366091"/>
      <w:kern w:val="0"/>
      <w:sz w:val="28"/>
      <w:szCs w:val="28"/>
    </w:rPr>
  </w:style>
  <w:style w:type="paragraph" w:styleId="55">
    <w:name w:val="List Paragraph"/>
    <w:basedOn w:val="1"/>
    <w:qFormat/>
    <w:uiPriority w:val="1"/>
    <w:pPr>
      <w:ind w:firstLine="420" w:firstLineChars="200"/>
    </w:pPr>
  </w:style>
  <w:style w:type="paragraph" w:customStyle="1" w:styleId="56">
    <w:name w:val="Blockquote"/>
    <w:basedOn w:val="1"/>
    <w:qFormat/>
    <w:uiPriority w:val="0"/>
    <w:pPr>
      <w:autoSpaceDE w:val="0"/>
      <w:spacing w:before="100" w:after="100"/>
      <w:ind w:left="360" w:right="360"/>
      <w:jc w:val="left"/>
    </w:pPr>
    <w:rPr>
      <w:rFonts w:cs="Calibri"/>
      <w:kern w:val="1"/>
      <w:sz w:val="24"/>
      <w:szCs w:val="20"/>
    </w:rPr>
  </w:style>
  <w:style w:type="paragraph" w:customStyle="1" w:styleId="5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Cs w:val="0"/>
      <w:szCs w:val="20"/>
    </w:rPr>
  </w:style>
  <w:style w:type="table" w:customStyle="1" w:styleId="59">
    <w:name w:val="网格型1"/>
    <w:basedOn w:val="2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正文文本 (2)_"/>
    <w:link w:val="61"/>
    <w:unhideWhenUsed/>
    <w:qFormat/>
    <w:uiPriority w:val="99"/>
    <w:rPr>
      <w:rFonts w:ascii="MingLiU" w:hAnsi="MingLiU" w:eastAsia="MingLiU"/>
      <w:sz w:val="22"/>
      <w:shd w:val="clear" w:color="auto" w:fill="FFFFFF"/>
    </w:rPr>
  </w:style>
  <w:style w:type="paragraph" w:customStyle="1" w:styleId="61">
    <w:name w:val="正文文本 (2)"/>
    <w:basedOn w:val="1"/>
    <w:link w:val="60"/>
    <w:unhideWhenUsed/>
    <w:qFormat/>
    <w:uiPriority w:val="99"/>
    <w:pPr>
      <w:shd w:val="clear" w:color="auto" w:fill="FFFFFF"/>
      <w:spacing w:line="312" w:lineRule="exact"/>
      <w:ind w:hanging="620"/>
      <w:jc w:val="center"/>
    </w:pPr>
    <w:rPr>
      <w:rFonts w:ascii="MingLiU" w:hAnsi="MingLiU" w:eastAsia="MingLiU"/>
      <w:kern w:val="0"/>
      <w:sz w:val="22"/>
      <w:szCs w:val="20"/>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0D406-BE28-45DA-86C4-59BED202ACFA}">
  <ds:schemaRefs/>
</ds:datastoreItem>
</file>

<file path=docProps/app.xml><?xml version="1.0" encoding="utf-8"?>
<Properties xmlns="http://schemas.openxmlformats.org/officeDocument/2006/extended-properties" xmlns:vt="http://schemas.openxmlformats.org/officeDocument/2006/docPropsVTypes">
  <Template>Normal</Template>
  <Pages>25</Pages>
  <Words>7841</Words>
  <Characters>8019</Characters>
  <Lines>70</Lines>
  <Paragraphs>19</Paragraphs>
  <TotalTime>82</TotalTime>
  <ScaleCrop>false</ScaleCrop>
  <LinksUpToDate>false</LinksUpToDate>
  <CharactersWithSpaces>8831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2022-07-19T09:29:00Z</dcterms:created>
  <dc:creator>李相磊</dc:creator>
  <cp:lastModifiedBy>刘羽飞</cp:lastModifiedBy>
  <cp:lastPrinted>2017-06-28T06:41:00Z</cp:lastPrinted>
  <dcterms:modified xsi:type="dcterms:W3CDTF">2023-01-30T06:33:23Z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6810370A13214451B1883D45C54C1F8E</vt:lpwstr>
  </property>
</Properties>
</file>