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00240">
      <w:pPr>
        <w:spacing w:line="360" w:lineRule="auto"/>
        <w:jc w:val="center"/>
        <w:rPr>
          <w:rFonts w:ascii="仿宋" w:hAnsi="仿宋" w:eastAsia="仿宋" w:cs="仿宋"/>
          <w:b/>
          <w:color w:val="000000"/>
          <w:sz w:val="48"/>
          <w:szCs w:val="48"/>
        </w:rPr>
      </w:pPr>
      <w:bookmarkStart w:id="107" w:name="_GoBack"/>
      <w:bookmarkEnd w:id="107"/>
    </w:p>
    <w:p w14:paraId="4FA948B1">
      <w:pPr>
        <w:spacing w:line="360" w:lineRule="auto"/>
        <w:jc w:val="center"/>
        <w:rPr>
          <w:rFonts w:ascii="仿宋" w:hAnsi="仿宋" w:eastAsia="仿宋" w:cs="仿宋"/>
          <w:b/>
          <w:color w:val="000000"/>
          <w:sz w:val="48"/>
          <w:szCs w:val="48"/>
        </w:rPr>
      </w:pPr>
    </w:p>
    <w:p w14:paraId="4B6885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sz w:val="44"/>
          <w:szCs w:val="44"/>
          <w:lang w:val="en-US" w:eastAsia="zh-CN"/>
        </w:rPr>
      </w:pPr>
      <w:bookmarkStart w:id="0" w:name="OLE_LINK25"/>
      <w:r>
        <w:rPr>
          <w:rFonts w:hint="eastAsia" w:ascii="方正小标宋简体" w:hAnsi="方正小标宋简体" w:eastAsia="方正小标宋简体" w:cs="方正小标宋简体"/>
          <w:b w:val="0"/>
          <w:bCs/>
          <w:color w:val="000000"/>
          <w:sz w:val="44"/>
          <w:szCs w:val="44"/>
          <w:lang w:val="en-US" w:eastAsia="zh-CN"/>
        </w:rPr>
        <w:t>金寨红色文化发展有限公司注销全过程</w:t>
      </w:r>
    </w:p>
    <w:p w14:paraId="00D965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法律专项服务</w:t>
      </w:r>
    </w:p>
    <w:bookmarkEnd w:id="0"/>
    <w:p w14:paraId="203F38F7">
      <w:pPr>
        <w:jc w:val="center"/>
        <w:rPr>
          <w:rFonts w:ascii="仿宋" w:hAnsi="仿宋" w:eastAsia="仿宋" w:cs="仿宋"/>
          <w:sz w:val="30"/>
        </w:rPr>
      </w:pPr>
    </w:p>
    <w:p w14:paraId="49C5ACB4">
      <w:pPr>
        <w:pStyle w:val="5"/>
      </w:pPr>
    </w:p>
    <w:p w14:paraId="78F97F1F">
      <w:pPr>
        <w:jc w:val="center"/>
        <w:rPr>
          <w:rFonts w:ascii="仿宋" w:hAnsi="仿宋" w:eastAsia="仿宋" w:cs="仿宋"/>
          <w:sz w:val="30"/>
        </w:rPr>
      </w:pPr>
    </w:p>
    <w:p w14:paraId="68E7D184">
      <w:pPr>
        <w:jc w:val="center"/>
        <w:rPr>
          <w:rFonts w:ascii="仿宋" w:hAnsi="仿宋" w:eastAsia="仿宋" w:cs="仿宋"/>
          <w:sz w:val="30"/>
        </w:rPr>
      </w:pPr>
    </w:p>
    <w:p w14:paraId="796134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询比文件</w:t>
      </w:r>
    </w:p>
    <w:p w14:paraId="71D93600">
      <w:pPr>
        <w:jc w:val="left"/>
        <w:rPr>
          <w:rFonts w:ascii="仿宋" w:hAnsi="仿宋" w:eastAsia="仿宋" w:cs="仿宋"/>
          <w:sz w:val="30"/>
        </w:rPr>
      </w:pPr>
    </w:p>
    <w:p w14:paraId="0CA1CD13">
      <w:pPr>
        <w:spacing w:line="360" w:lineRule="auto"/>
        <w:ind w:right="960" w:rightChars="300" w:firstLine="840" w:firstLineChars="300"/>
        <w:rPr>
          <w:rFonts w:ascii="仿宋" w:hAnsi="仿宋" w:eastAsia="仿宋" w:cs="仿宋"/>
          <w:sz w:val="28"/>
          <w:szCs w:val="28"/>
        </w:rPr>
      </w:pPr>
      <w:r>
        <w:rPr>
          <w:rFonts w:hint="eastAsia" w:ascii="仿宋" w:hAnsi="仿宋" w:eastAsia="仿宋" w:cs="仿宋"/>
          <w:sz w:val="28"/>
          <w:szCs w:val="28"/>
        </w:rPr>
        <w:t xml:space="preserve">   </w:t>
      </w:r>
    </w:p>
    <w:p w14:paraId="1015B463">
      <w:pPr>
        <w:spacing w:line="800" w:lineRule="exact"/>
        <w:jc w:val="center"/>
        <w:rPr>
          <w:rFonts w:ascii="仿宋" w:hAnsi="仿宋" w:eastAsia="仿宋" w:cs="仿宋"/>
          <w:b/>
          <w:color w:val="000000"/>
          <w:kern w:val="0"/>
          <w:szCs w:val="32"/>
          <w:u w:val="single"/>
        </w:rPr>
      </w:pPr>
    </w:p>
    <w:p w14:paraId="2B6EB151">
      <w:pPr>
        <w:pStyle w:val="13"/>
        <w:ind w:left="640" w:firstLine="640"/>
      </w:pPr>
    </w:p>
    <w:p w14:paraId="2BE0714E">
      <w:pPr>
        <w:pStyle w:val="13"/>
        <w:ind w:left="640" w:firstLine="640"/>
      </w:pPr>
    </w:p>
    <w:p w14:paraId="23251F5A">
      <w:pPr>
        <w:pStyle w:val="5"/>
        <w:rPr>
          <w:rFonts w:ascii="华文中宋" w:hAnsi="华文中宋" w:eastAsia="华文中宋"/>
        </w:rPr>
      </w:pPr>
    </w:p>
    <w:p w14:paraId="3379E021">
      <w:pPr>
        <w:spacing w:line="360" w:lineRule="auto"/>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安徽</w:t>
      </w:r>
      <w:bookmarkStart w:id="1" w:name="OLE_LINK1"/>
      <w:r>
        <w:rPr>
          <w:rFonts w:hint="eastAsia" w:ascii="仿宋_GB2312" w:hAnsi="仿宋_GB2312" w:cs="仿宋_GB2312"/>
          <w:color w:val="000000"/>
          <w:szCs w:val="32"/>
          <w:lang w:val="en-US" w:eastAsia="zh-CN"/>
        </w:rPr>
        <w:t>文化旅游投资集团</w:t>
      </w:r>
      <w:r>
        <w:rPr>
          <w:rFonts w:hint="eastAsia" w:ascii="仿宋_GB2312" w:hAnsi="仿宋_GB2312" w:eastAsia="仿宋_GB2312" w:cs="仿宋_GB2312"/>
          <w:color w:val="000000"/>
          <w:szCs w:val="32"/>
        </w:rPr>
        <w:t>有限责任公司</w:t>
      </w:r>
      <w:bookmarkEnd w:id="1"/>
    </w:p>
    <w:p w14:paraId="368D3ACF">
      <w:pPr>
        <w:spacing w:line="360" w:lineRule="auto"/>
        <w:jc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二○二</w:t>
      </w:r>
      <w:r>
        <w:rPr>
          <w:rFonts w:hint="eastAsia" w:ascii="仿宋_GB2312" w:hAnsi="仿宋_GB2312" w:eastAsia="仿宋_GB2312" w:cs="仿宋_GB2312"/>
          <w:color w:val="000000"/>
          <w:szCs w:val="32"/>
          <w:lang w:val="en-US" w:eastAsia="zh-CN"/>
        </w:rPr>
        <w:t>五</w:t>
      </w:r>
      <w:r>
        <w:rPr>
          <w:rFonts w:hint="eastAsia" w:ascii="仿宋_GB2312" w:hAnsi="仿宋_GB2312" w:eastAsia="仿宋_GB2312" w:cs="仿宋_GB2312"/>
          <w:color w:val="000000"/>
          <w:szCs w:val="32"/>
        </w:rPr>
        <w:t>年</w:t>
      </w:r>
      <w:r>
        <w:rPr>
          <w:rFonts w:hint="eastAsia" w:ascii="仿宋_GB2312" w:hAnsi="仿宋_GB2312" w:cs="仿宋_GB2312"/>
          <w:color w:val="000000"/>
          <w:szCs w:val="32"/>
          <w:lang w:val="en-US" w:eastAsia="zh-CN"/>
        </w:rPr>
        <w:t>四</w:t>
      </w:r>
      <w:r>
        <w:rPr>
          <w:rFonts w:hint="eastAsia" w:ascii="仿宋_GB2312" w:hAnsi="仿宋_GB2312" w:eastAsia="仿宋_GB2312" w:cs="仿宋_GB2312"/>
          <w:color w:val="000000"/>
          <w:szCs w:val="32"/>
        </w:rPr>
        <w:t>月</w:t>
      </w:r>
    </w:p>
    <w:p w14:paraId="7DEAAB1E">
      <w:pPr>
        <w:pStyle w:val="2"/>
        <w:keepNext w:val="0"/>
        <w:keepLines w:val="0"/>
        <w:spacing w:line="360" w:lineRule="auto"/>
        <w:jc w:val="center"/>
        <w:rPr>
          <w:b w:val="0"/>
          <w:bCs w:val="0"/>
          <w:sz w:val="32"/>
          <w:szCs w:val="32"/>
        </w:rPr>
        <w:sectPr>
          <w:footerReference r:id="rId7" w:type="first"/>
          <w:headerReference r:id="rId3" w:type="default"/>
          <w:footerReference r:id="rId5" w:type="default"/>
          <w:headerReference r:id="rId4" w:type="even"/>
          <w:footerReference r:id="rId6" w:type="even"/>
          <w:pgSz w:w="11907" w:h="16840"/>
          <w:pgMar w:top="2098" w:right="1531" w:bottom="2098" w:left="1531" w:header="680" w:footer="907" w:gutter="0"/>
          <w:pgNumType w:fmt="numberInDash" w:start="3"/>
          <w:cols w:space="720" w:num="1"/>
          <w:titlePg/>
          <w:docGrid w:linePitch="271" w:charSpace="0"/>
        </w:sectPr>
      </w:pPr>
    </w:p>
    <w:sdt>
      <w:sdtPr>
        <w:rPr>
          <w:rFonts w:ascii="宋体" w:hAnsi="宋体" w:eastAsia="宋体"/>
          <w:sz w:val="21"/>
        </w:rPr>
        <w:id w:val="147478716"/>
        <w:docPartObj>
          <w:docPartGallery w:val="Table of Contents"/>
          <w:docPartUnique/>
        </w:docPartObj>
      </w:sdtPr>
      <w:sdtEndPr>
        <w:rPr>
          <w:rFonts w:hint="eastAsia" w:ascii="仿宋_GB2312" w:hAnsi="仿宋_GB2312" w:eastAsia="仿宋_GB2312" w:cs="仿宋_GB2312"/>
          <w:sz w:val="28"/>
          <w:szCs w:val="28"/>
        </w:rPr>
      </w:sdtEndPr>
      <w:sdtContent>
        <w:p w14:paraId="64E34F32">
          <w:pPr>
            <w:jc w:val="center"/>
            <w:rPr>
              <w:rFonts w:ascii="黑体" w:hAnsi="黑体" w:eastAsia="黑体" w:cs="方正小标宋_GBK"/>
              <w:sz w:val="44"/>
              <w:szCs w:val="44"/>
            </w:rPr>
          </w:pPr>
          <w:r>
            <w:rPr>
              <w:rFonts w:hint="eastAsia" w:ascii="仿宋_GB2312" w:hAnsi="仿宋_GB2312" w:eastAsia="仿宋_GB2312" w:cs="仿宋_GB2312"/>
              <w:b/>
              <w:bCs/>
              <w:sz w:val="44"/>
              <w:szCs w:val="44"/>
            </w:rPr>
            <w:t>目  录</w:t>
          </w:r>
        </w:p>
        <w:p w14:paraId="3A304042">
          <w:pPr>
            <w:pStyle w:val="13"/>
            <w:ind w:left="640"/>
            <w:rPr>
              <w:rFonts w:ascii="宋体" w:hAnsi="宋体" w:eastAsia="宋体"/>
              <w:sz w:val="21"/>
            </w:rPr>
          </w:pPr>
        </w:p>
        <w:p w14:paraId="0F16D7EB">
          <w:pPr>
            <w:pStyle w:val="13"/>
            <w:ind w:left="640"/>
            <w:rPr>
              <w:rFonts w:ascii="宋体" w:hAnsi="宋体" w:eastAsia="宋体"/>
              <w:sz w:val="21"/>
            </w:rPr>
          </w:pPr>
        </w:p>
        <w:p w14:paraId="036D00BC">
          <w:pPr>
            <w:pStyle w:val="20"/>
            <w:tabs>
              <w:tab w:val="right" w:leader="dot" w:pos="8845"/>
            </w:tabs>
            <w:spacing w:line="580" w:lineRule="exact"/>
            <w:rPr>
              <w:rFonts w:eastAsia="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"1-1" \h \u </w:instrText>
          </w:r>
          <w:r>
            <w:rPr>
              <w:rFonts w:hint="eastAsia" w:ascii="仿宋_GB2312" w:hAnsi="仿宋_GB2312" w:eastAsia="仿宋_GB2312" w:cs="仿宋_GB2312"/>
              <w:sz w:val="28"/>
              <w:szCs w:val="28"/>
            </w:rPr>
            <w:fldChar w:fldCharType="separate"/>
          </w:r>
          <w:r>
            <w:fldChar w:fldCharType="begin"/>
          </w:r>
          <w:r>
            <w:instrText xml:space="preserve"> HYPERLINK \l "_Toc6045" </w:instrText>
          </w:r>
          <w:r>
            <w:fldChar w:fldCharType="separate"/>
          </w:r>
          <w:r>
            <w:rPr>
              <w:rFonts w:hAnsi="仿宋_GB2312" w:eastAsia="仿宋_GB2312"/>
              <w:sz w:val="28"/>
              <w:szCs w:val="28"/>
            </w:rPr>
            <w:t>第一章</w:t>
          </w:r>
          <w:r>
            <w:rPr>
              <w:rFonts w:eastAsia="仿宋_GB2312"/>
              <w:sz w:val="28"/>
              <w:szCs w:val="28"/>
            </w:rPr>
            <w:t xml:space="preserve">  </w:t>
          </w:r>
          <w:r>
            <w:rPr>
              <w:rFonts w:hAnsi="仿宋_GB2312" w:eastAsia="仿宋_GB2312"/>
              <w:sz w:val="28"/>
              <w:szCs w:val="28"/>
            </w:rPr>
            <w:t>询比采购公告</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_Toc6045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r>
            <w:rPr>
              <w:rFonts w:eastAsia="仿宋_GB2312"/>
              <w:sz w:val="28"/>
              <w:szCs w:val="28"/>
            </w:rPr>
            <w:fldChar w:fldCharType="end"/>
          </w:r>
        </w:p>
        <w:p w14:paraId="1B8080FC">
          <w:pPr>
            <w:pStyle w:val="20"/>
            <w:tabs>
              <w:tab w:val="right" w:leader="dot" w:pos="8845"/>
            </w:tabs>
            <w:spacing w:line="580" w:lineRule="exact"/>
            <w:rPr>
              <w:rFonts w:eastAsia="仿宋_GB2312"/>
              <w:sz w:val="28"/>
              <w:szCs w:val="28"/>
            </w:rPr>
          </w:pPr>
          <w:r>
            <w:fldChar w:fldCharType="begin"/>
          </w:r>
          <w:r>
            <w:instrText xml:space="preserve"> HYPERLINK \l "_Toc12419" </w:instrText>
          </w:r>
          <w:r>
            <w:fldChar w:fldCharType="separate"/>
          </w:r>
          <w:r>
            <w:rPr>
              <w:rFonts w:hAnsi="仿宋_GB2312" w:eastAsia="仿宋_GB2312"/>
              <w:kern w:val="44"/>
              <w:sz w:val="28"/>
              <w:szCs w:val="28"/>
            </w:rPr>
            <w:t>第二章</w:t>
          </w:r>
          <w:r>
            <w:rPr>
              <w:rFonts w:eastAsia="仿宋_GB2312"/>
              <w:kern w:val="44"/>
              <w:sz w:val="28"/>
              <w:szCs w:val="28"/>
            </w:rPr>
            <w:t xml:space="preserve">  </w:t>
          </w:r>
          <w:r>
            <w:rPr>
              <w:rFonts w:eastAsia="仿宋_GB2312"/>
              <w:kern w:val="44"/>
              <w:sz w:val="28"/>
              <w:szCs w:val="28"/>
            </w:rPr>
            <w:fldChar w:fldCharType="end"/>
          </w:r>
          <w:r>
            <w:fldChar w:fldCharType="begin"/>
          </w:r>
          <w:r>
            <w:instrText xml:space="preserve"> HYPERLINK \l "_Toc12545" </w:instrText>
          </w:r>
          <w:r>
            <w:fldChar w:fldCharType="separate"/>
          </w:r>
          <w:r>
            <w:rPr>
              <w:rFonts w:hAnsi="仿宋_GB2312" w:eastAsia="仿宋_GB2312"/>
              <w:kern w:val="44"/>
              <w:sz w:val="28"/>
              <w:szCs w:val="28"/>
            </w:rPr>
            <w:t>发包人声明</w:t>
          </w:r>
          <w:r>
            <w:rPr>
              <w:rFonts w:eastAsia="仿宋_GB2312"/>
              <w:sz w:val="28"/>
              <w:szCs w:val="28"/>
            </w:rPr>
            <w:tab/>
          </w:r>
          <w:r>
            <w:rPr>
              <w:rFonts w:hint="eastAsia" w:eastAsia="仿宋_GB2312"/>
              <w:sz w:val="28"/>
              <w:szCs w:val="28"/>
            </w:rPr>
            <w:t>5</w:t>
          </w:r>
          <w:r>
            <w:rPr>
              <w:rFonts w:hint="eastAsia" w:eastAsia="仿宋_GB2312"/>
              <w:sz w:val="28"/>
              <w:szCs w:val="28"/>
            </w:rPr>
            <w:fldChar w:fldCharType="end"/>
          </w:r>
        </w:p>
        <w:p w14:paraId="0EEB216B">
          <w:pPr>
            <w:pStyle w:val="20"/>
            <w:tabs>
              <w:tab w:val="right" w:leader="dot" w:pos="8845"/>
            </w:tabs>
            <w:spacing w:line="580" w:lineRule="exact"/>
            <w:rPr>
              <w:rFonts w:eastAsia="仿宋_GB2312"/>
              <w:sz w:val="28"/>
              <w:szCs w:val="28"/>
            </w:rPr>
          </w:pPr>
          <w:r>
            <w:fldChar w:fldCharType="begin"/>
          </w:r>
          <w:r>
            <w:instrText xml:space="preserve"> HYPERLINK \l "_Toc20967" </w:instrText>
          </w:r>
          <w:r>
            <w:fldChar w:fldCharType="separate"/>
          </w:r>
          <w:r>
            <w:rPr>
              <w:rFonts w:hAnsi="仿宋_GB2312" w:eastAsia="仿宋_GB2312"/>
              <w:kern w:val="44"/>
              <w:sz w:val="28"/>
              <w:szCs w:val="28"/>
            </w:rPr>
            <w:t>第</w:t>
          </w:r>
          <w:r>
            <w:rPr>
              <w:rFonts w:hint="eastAsia" w:hAnsi="仿宋_GB2312" w:eastAsia="仿宋_GB2312"/>
              <w:kern w:val="44"/>
              <w:sz w:val="28"/>
              <w:szCs w:val="28"/>
            </w:rPr>
            <w:t>三</w:t>
          </w:r>
          <w:r>
            <w:rPr>
              <w:rFonts w:hAnsi="仿宋_GB2312" w:eastAsia="仿宋_GB2312"/>
              <w:kern w:val="44"/>
              <w:sz w:val="28"/>
              <w:szCs w:val="28"/>
            </w:rPr>
            <w:t>章</w:t>
          </w:r>
          <w:r>
            <w:rPr>
              <w:rFonts w:eastAsia="仿宋_GB2312"/>
              <w:kern w:val="44"/>
              <w:sz w:val="28"/>
              <w:szCs w:val="28"/>
            </w:rPr>
            <w:t xml:space="preserve">  </w:t>
          </w:r>
          <w:r>
            <w:rPr>
              <w:rFonts w:hAnsi="仿宋_GB2312" w:eastAsia="仿宋_GB2312"/>
              <w:kern w:val="44"/>
              <w:sz w:val="28"/>
              <w:szCs w:val="28"/>
            </w:rPr>
            <w:t>评审办法</w:t>
          </w:r>
          <w:r>
            <w:rPr>
              <w:rFonts w:eastAsia="仿宋_GB2312"/>
              <w:sz w:val="28"/>
              <w:szCs w:val="28"/>
            </w:rPr>
            <w:tab/>
          </w:r>
          <w:r>
            <w:rPr>
              <w:rFonts w:hint="eastAsia" w:eastAsia="仿宋_GB2312"/>
              <w:sz w:val="28"/>
              <w:szCs w:val="28"/>
            </w:rPr>
            <w:t>6</w:t>
          </w:r>
          <w:r>
            <w:rPr>
              <w:rFonts w:hint="eastAsia" w:eastAsia="仿宋_GB2312"/>
              <w:sz w:val="28"/>
              <w:szCs w:val="28"/>
            </w:rPr>
            <w:fldChar w:fldCharType="end"/>
          </w:r>
        </w:p>
        <w:p w14:paraId="1CEF08CD">
          <w:pPr>
            <w:pStyle w:val="20"/>
            <w:tabs>
              <w:tab w:val="right" w:leader="dot" w:pos="8845"/>
            </w:tabs>
            <w:spacing w:line="580" w:lineRule="exact"/>
            <w:rPr>
              <w:rFonts w:eastAsia="仿宋_GB2312"/>
              <w:sz w:val="28"/>
              <w:szCs w:val="28"/>
            </w:rPr>
          </w:pPr>
          <w:r>
            <w:fldChar w:fldCharType="begin"/>
          </w:r>
          <w:r>
            <w:instrText xml:space="preserve"> HYPERLINK \l "_Toc15430" </w:instrText>
          </w:r>
          <w:r>
            <w:fldChar w:fldCharType="separate"/>
          </w:r>
          <w:r>
            <w:rPr>
              <w:rFonts w:hAnsi="仿宋_GB2312" w:eastAsia="仿宋_GB2312"/>
              <w:kern w:val="44"/>
              <w:sz w:val="28"/>
              <w:szCs w:val="28"/>
            </w:rPr>
            <w:t>第</w:t>
          </w:r>
          <w:r>
            <w:rPr>
              <w:rFonts w:hint="eastAsia" w:hAnsi="仿宋_GB2312" w:eastAsia="仿宋_GB2312"/>
              <w:kern w:val="44"/>
              <w:sz w:val="28"/>
              <w:szCs w:val="28"/>
            </w:rPr>
            <w:t>四</w:t>
          </w:r>
          <w:r>
            <w:rPr>
              <w:rFonts w:hAnsi="仿宋_GB2312" w:eastAsia="仿宋_GB2312"/>
              <w:kern w:val="44"/>
              <w:sz w:val="28"/>
              <w:szCs w:val="28"/>
            </w:rPr>
            <w:t>章</w:t>
          </w:r>
          <w:r>
            <w:rPr>
              <w:rFonts w:eastAsia="仿宋_GB2312"/>
              <w:kern w:val="44"/>
              <w:sz w:val="28"/>
              <w:szCs w:val="28"/>
            </w:rPr>
            <w:t xml:space="preserve">  </w:t>
          </w:r>
          <w:r>
            <w:rPr>
              <w:rFonts w:hAnsi="仿宋_GB2312" w:eastAsia="仿宋_GB2312"/>
              <w:kern w:val="44"/>
              <w:sz w:val="28"/>
              <w:szCs w:val="28"/>
            </w:rPr>
            <w:t>合同条款</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_Toc15430 </w:instrText>
          </w:r>
          <w:r>
            <w:rPr>
              <w:rFonts w:eastAsia="仿宋_GB2312"/>
              <w:sz w:val="28"/>
              <w:szCs w:val="28"/>
            </w:rPr>
            <w:fldChar w:fldCharType="separate"/>
          </w:r>
          <w:r>
            <w:rPr>
              <w:rFonts w:eastAsia="仿宋_GB2312"/>
              <w:sz w:val="28"/>
              <w:szCs w:val="28"/>
            </w:rPr>
            <w:t>10</w:t>
          </w:r>
          <w:r>
            <w:rPr>
              <w:rFonts w:eastAsia="仿宋_GB2312"/>
              <w:sz w:val="28"/>
              <w:szCs w:val="28"/>
            </w:rPr>
            <w:fldChar w:fldCharType="end"/>
          </w:r>
          <w:r>
            <w:rPr>
              <w:rFonts w:eastAsia="仿宋_GB2312"/>
              <w:sz w:val="28"/>
              <w:szCs w:val="28"/>
            </w:rPr>
            <w:fldChar w:fldCharType="end"/>
          </w:r>
        </w:p>
        <w:p w14:paraId="7964721D">
          <w:pPr>
            <w:pStyle w:val="20"/>
            <w:tabs>
              <w:tab w:val="right" w:leader="dot" w:pos="8845"/>
            </w:tabs>
            <w:spacing w:line="580" w:lineRule="exact"/>
            <w:rPr>
              <w:rFonts w:ascii="仿宋_GB2312" w:hAnsi="仿宋_GB2312" w:eastAsia="仿宋_GB2312" w:cs="仿宋_GB2312"/>
              <w:sz w:val="28"/>
              <w:szCs w:val="28"/>
            </w:rPr>
          </w:pPr>
          <w:r>
            <w:fldChar w:fldCharType="begin"/>
          </w:r>
          <w:r>
            <w:instrText xml:space="preserve"> HYPERLINK \l "_Toc14692" </w:instrText>
          </w:r>
          <w:r>
            <w:fldChar w:fldCharType="separate"/>
          </w:r>
          <w:r>
            <w:rPr>
              <w:rFonts w:hAnsi="仿宋_GB2312" w:eastAsia="仿宋_GB2312"/>
              <w:kern w:val="44"/>
              <w:sz w:val="28"/>
              <w:szCs w:val="28"/>
            </w:rPr>
            <w:t>第</w:t>
          </w:r>
          <w:r>
            <w:rPr>
              <w:rFonts w:hint="eastAsia" w:hAnsi="仿宋_GB2312" w:eastAsia="仿宋_GB2312"/>
              <w:kern w:val="44"/>
              <w:sz w:val="28"/>
              <w:szCs w:val="28"/>
            </w:rPr>
            <w:t>五</w:t>
          </w:r>
          <w:r>
            <w:rPr>
              <w:rFonts w:hAnsi="仿宋_GB2312" w:eastAsia="仿宋_GB2312"/>
              <w:kern w:val="44"/>
              <w:sz w:val="28"/>
              <w:szCs w:val="28"/>
            </w:rPr>
            <w:t>章</w:t>
          </w:r>
          <w:r>
            <w:rPr>
              <w:rFonts w:eastAsia="仿宋_GB2312"/>
              <w:kern w:val="44"/>
              <w:sz w:val="28"/>
              <w:szCs w:val="28"/>
            </w:rPr>
            <w:t xml:space="preserve">  </w:t>
          </w:r>
          <w:r>
            <w:rPr>
              <w:rFonts w:hAnsi="仿宋_GB2312" w:eastAsia="仿宋_GB2312"/>
              <w:kern w:val="44"/>
              <w:sz w:val="28"/>
              <w:szCs w:val="28"/>
            </w:rPr>
            <w:t>响应文件格式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_Toc14692 </w:instrText>
          </w:r>
          <w:r>
            <w:rPr>
              <w:rFonts w:eastAsia="仿宋_GB2312"/>
              <w:sz w:val="28"/>
              <w:szCs w:val="28"/>
            </w:rPr>
            <w:fldChar w:fldCharType="separate"/>
          </w:r>
          <w:r>
            <w:rPr>
              <w:rFonts w:eastAsia="仿宋_GB2312"/>
              <w:sz w:val="28"/>
              <w:szCs w:val="28"/>
            </w:rPr>
            <w:t>11</w:t>
          </w:r>
          <w:r>
            <w:rPr>
              <w:rFonts w:eastAsia="仿宋_GB2312"/>
              <w:sz w:val="28"/>
              <w:szCs w:val="28"/>
            </w:rPr>
            <w:fldChar w:fldCharType="end"/>
          </w:r>
          <w:r>
            <w:rPr>
              <w:rFonts w:eastAsia="仿宋_GB2312"/>
              <w:sz w:val="28"/>
              <w:szCs w:val="28"/>
            </w:rPr>
            <w:fldChar w:fldCharType="end"/>
          </w:r>
        </w:p>
        <w:p w14:paraId="109A2848">
          <w:pPr>
            <w:pStyle w:val="5"/>
            <w:spacing w:line="580" w:lineRule="exact"/>
            <w:rPr>
              <w:rFonts w:ascii="仿宋_GB2312" w:hAnsi="仿宋_GB2312" w:cs="仿宋_GB2312"/>
              <w:sz w:val="28"/>
              <w:szCs w:val="28"/>
            </w:rPr>
          </w:pPr>
          <w:r>
            <w:rPr>
              <w:rFonts w:hint="eastAsia" w:ascii="仿宋_GB2312" w:hAnsi="仿宋_GB2312" w:cs="仿宋_GB2312"/>
              <w:sz w:val="28"/>
              <w:szCs w:val="28"/>
            </w:rPr>
            <w:fldChar w:fldCharType="end"/>
          </w:r>
        </w:p>
      </w:sdtContent>
    </w:sdt>
    <w:p w14:paraId="1A777975">
      <w:pPr>
        <w:pStyle w:val="5"/>
        <w:rPr>
          <w:rFonts w:ascii="Times New Roman" w:hAnsi="Times New Roman"/>
          <w:szCs w:val="32"/>
        </w:rPr>
      </w:pPr>
    </w:p>
    <w:p w14:paraId="22841223">
      <w:pPr>
        <w:pStyle w:val="5"/>
        <w:rPr>
          <w:rFonts w:ascii="Times New Roman" w:hAnsi="Times New Roman"/>
          <w:szCs w:val="32"/>
        </w:rPr>
      </w:pPr>
    </w:p>
    <w:p w14:paraId="5FB8EED8">
      <w:pPr>
        <w:pStyle w:val="5"/>
        <w:rPr>
          <w:rFonts w:ascii="Times New Roman" w:hAnsi="Times New Roman"/>
          <w:szCs w:val="32"/>
        </w:rPr>
      </w:pPr>
    </w:p>
    <w:p w14:paraId="2827AE9E">
      <w:pPr>
        <w:pStyle w:val="5"/>
        <w:rPr>
          <w:rFonts w:ascii="Times New Roman" w:hAnsi="Times New Roman"/>
          <w:szCs w:val="32"/>
        </w:rPr>
      </w:pPr>
    </w:p>
    <w:p w14:paraId="2D81F0F1">
      <w:pPr>
        <w:pStyle w:val="5"/>
        <w:rPr>
          <w:rFonts w:ascii="Times New Roman" w:hAnsi="Times New Roman"/>
          <w:szCs w:val="32"/>
        </w:rPr>
      </w:pPr>
    </w:p>
    <w:p w14:paraId="5B0C7A02"/>
    <w:p w14:paraId="2965050B">
      <w:pPr>
        <w:pStyle w:val="5"/>
      </w:pPr>
    </w:p>
    <w:p w14:paraId="3792D178">
      <w:pPr>
        <w:pStyle w:val="5"/>
      </w:pPr>
    </w:p>
    <w:p w14:paraId="1ACB6DBC">
      <w:pPr>
        <w:pStyle w:val="2"/>
        <w:keepNext w:val="0"/>
        <w:keepLines w:val="0"/>
        <w:spacing w:line="520" w:lineRule="exact"/>
        <w:jc w:val="center"/>
        <w:rPr>
          <w:rFonts w:ascii="方正小标宋_GBK" w:hAnsi="方正小标宋_GBK" w:eastAsia="方正小标宋_GBK" w:cs="方正小标宋_GBK"/>
          <w:b w:val="0"/>
          <w:bCs w:val="0"/>
          <w:sz w:val="36"/>
          <w:szCs w:val="36"/>
        </w:rPr>
        <w:sectPr>
          <w:footerReference r:id="rId9" w:type="first"/>
          <w:footerReference r:id="rId8" w:type="default"/>
          <w:pgSz w:w="11907" w:h="16840"/>
          <w:pgMar w:top="2098" w:right="1531" w:bottom="2098" w:left="1531" w:header="680" w:footer="907" w:gutter="0"/>
          <w:pgNumType w:fmt="numberInDash" w:start="1"/>
          <w:cols w:space="0" w:num="1"/>
          <w:titlePg/>
          <w:docGrid w:linePitch="271" w:charSpace="0"/>
        </w:sectPr>
      </w:pPr>
      <w:bookmarkStart w:id="2" w:name="_Toc26163_WPSOffice_Level1"/>
    </w:p>
    <w:p w14:paraId="5A66B5F6">
      <w:pPr>
        <w:pStyle w:val="2"/>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黑体" w:hAnsi="黑体" w:eastAsia="黑体" w:cs="方正小标宋_GBK"/>
          <w:b w:val="0"/>
          <w:bCs w:val="0"/>
          <w:sz w:val="36"/>
          <w:szCs w:val="36"/>
        </w:rPr>
      </w:pPr>
      <w:bookmarkStart w:id="3" w:name="_Toc6045"/>
      <w:r>
        <w:rPr>
          <w:rFonts w:hint="eastAsia" w:ascii="黑体" w:hAnsi="黑体" w:eastAsia="黑体" w:cs="方正小标宋_GBK"/>
          <w:b w:val="0"/>
          <w:bCs w:val="0"/>
          <w:sz w:val="36"/>
          <w:szCs w:val="36"/>
        </w:rPr>
        <w:t>第一章  询比采购公告</w:t>
      </w:r>
      <w:bookmarkEnd w:id="2"/>
      <w:bookmarkEnd w:id="3"/>
    </w:p>
    <w:p w14:paraId="0E3F5090">
      <w:pPr>
        <w:pStyle w:val="5"/>
        <w:keepNext w:val="0"/>
        <w:keepLines w:val="0"/>
        <w:pageBreakBefore w:val="0"/>
        <w:kinsoku/>
        <w:wordWrap/>
        <w:overflowPunct/>
        <w:topLinePunct w:val="0"/>
        <w:autoSpaceDE/>
        <w:autoSpaceDN/>
        <w:bidi w:val="0"/>
        <w:adjustRightInd/>
        <w:snapToGrid/>
        <w:spacing w:after="0" w:line="560" w:lineRule="exact"/>
        <w:ind w:left="0" w:leftChars="0"/>
        <w:textAlignment w:val="auto"/>
        <w:rPr>
          <w:rFonts w:ascii="仿宋_GB2312" w:hAnsi="宋体"/>
          <w:b/>
          <w:color w:val="000000"/>
          <w:kern w:val="0"/>
          <w:szCs w:val="32"/>
        </w:rPr>
      </w:pPr>
      <w:r>
        <w:rPr>
          <w:rFonts w:hint="eastAsia" w:ascii="仿宋_GB2312" w:hAnsi="宋体"/>
          <w:b/>
          <w:color w:val="000000"/>
          <w:kern w:val="0"/>
          <w:szCs w:val="32"/>
        </w:rPr>
        <w:t xml:space="preserve">  </w:t>
      </w:r>
    </w:p>
    <w:p w14:paraId="2C83D093">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color w:val="000000"/>
          <w:kern w:val="0"/>
          <w:szCs w:val="32"/>
          <w:lang w:val="en-US" w:eastAsia="zh-CN"/>
        </w:rPr>
      </w:pPr>
      <w:bookmarkStart w:id="4" w:name="OLE_LINK36"/>
      <w:r>
        <w:rPr>
          <w:rFonts w:hint="eastAsia" w:ascii="方正小标宋简体" w:hAnsi="方正小标宋简体" w:eastAsia="方正小标宋简体" w:cs="方正小标宋简体"/>
          <w:b w:val="0"/>
          <w:bCs/>
          <w:color w:val="000000"/>
          <w:kern w:val="0"/>
          <w:szCs w:val="32"/>
          <w:lang w:val="en-US" w:eastAsia="zh-CN"/>
        </w:rPr>
        <w:t>金寨红色文化发展有限公司注销全过程</w:t>
      </w:r>
    </w:p>
    <w:p w14:paraId="75B7E2B2">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ascii="方正小标宋_GBK" w:hAnsi="方正小标宋_GBK" w:eastAsia="方正小标宋_GBK" w:cs="方正小标宋_GBK"/>
          <w:bCs/>
          <w:color w:val="000000"/>
          <w:kern w:val="0"/>
          <w:szCs w:val="32"/>
        </w:rPr>
      </w:pPr>
      <w:r>
        <w:rPr>
          <w:rFonts w:hint="eastAsia" w:ascii="方正小标宋简体" w:hAnsi="方正小标宋简体" w:eastAsia="方正小标宋简体" w:cs="方正小标宋简体"/>
          <w:b w:val="0"/>
          <w:bCs/>
          <w:color w:val="000000"/>
          <w:kern w:val="0"/>
          <w:szCs w:val="32"/>
          <w:lang w:val="en-US" w:eastAsia="zh-CN"/>
        </w:rPr>
        <w:t>法律专项服务</w:t>
      </w:r>
      <w:r>
        <w:rPr>
          <w:rFonts w:hint="eastAsia" w:ascii="方正小标宋简体" w:hAnsi="方正小标宋简体" w:eastAsia="方正小标宋简体" w:cs="方正小标宋简体"/>
          <w:b w:val="0"/>
          <w:bCs/>
          <w:color w:val="000000"/>
          <w:kern w:val="0"/>
          <w:szCs w:val="32"/>
        </w:rPr>
        <w:t>询比采购公告</w:t>
      </w:r>
    </w:p>
    <w:p w14:paraId="13EDDD06">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bookmarkStart w:id="5" w:name="OLE_LINK37"/>
      <w:bookmarkStart w:id="6" w:name="OLE_LINK21"/>
      <w:r>
        <w:rPr>
          <w:rFonts w:hint="eastAsia" w:ascii="仿宋" w:hAnsi="仿宋" w:eastAsia="仿宋" w:cs="仿宋"/>
          <w:sz w:val="28"/>
          <w:szCs w:val="28"/>
        </w:rPr>
        <w:t>安徽</w:t>
      </w:r>
      <w:r>
        <w:rPr>
          <w:rFonts w:hint="eastAsia" w:ascii="仿宋" w:hAnsi="仿宋" w:eastAsia="仿宋" w:cs="仿宋"/>
          <w:sz w:val="28"/>
          <w:szCs w:val="28"/>
          <w:lang w:val="en-US" w:eastAsia="zh-CN"/>
        </w:rPr>
        <w:t>文化旅游投资集团</w:t>
      </w:r>
      <w:r>
        <w:rPr>
          <w:rFonts w:hint="eastAsia" w:ascii="仿宋" w:hAnsi="仿宋" w:eastAsia="仿宋" w:cs="仿宋"/>
          <w:sz w:val="28"/>
          <w:szCs w:val="28"/>
        </w:rPr>
        <w:t>有限责任公司</w:t>
      </w:r>
      <w:bookmarkEnd w:id="5"/>
      <w:r>
        <w:rPr>
          <w:rFonts w:hint="eastAsia" w:ascii="仿宋" w:hAnsi="仿宋" w:eastAsia="仿宋" w:cs="仿宋"/>
          <w:sz w:val="28"/>
          <w:szCs w:val="28"/>
        </w:rPr>
        <w:t>对</w:t>
      </w:r>
      <w:bookmarkStart w:id="7" w:name="OLE_LINK22"/>
      <w:bookmarkStart w:id="8" w:name="OLE_LINK6"/>
      <w:bookmarkStart w:id="9" w:name="OLE_LINK2"/>
      <w:r>
        <w:rPr>
          <w:rFonts w:hint="eastAsia" w:ascii="仿宋" w:hAnsi="仿宋" w:eastAsia="仿宋" w:cs="仿宋"/>
          <w:sz w:val="28"/>
          <w:szCs w:val="28"/>
          <w:lang w:val="en-US" w:eastAsia="zh-CN"/>
        </w:rPr>
        <w:t>金寨红色文化发展有限公司</w:t>
      </w:r>
      <w:bookmarkEnd w:id="7"/>
      <w:r>
        <w:rPr>
          <w:rFonts w:hint="eastAsia" w:ascii="仿宋" w:hAnsi="仿宋" w:eastAsia="仿宋" w:cs="仿宋"/>
          <w:sz w:val="28"/>
          <w:szCs w:val="28"/>
          <w:lang w:val="en-US" w:eastAsia="zh-CN"/>
        </w:rPr>
        <w:t>注销全过程</w:t>
      </w:r>
      <w:bookmarkEnd w:id="8"/>
      <w:r>
        <w:rPr>
          <w:rFonts w:hint="eastAsia" w:ascii="仿宋" w:hAnsi="仿宋" w:eastAsia="仿宋" w:cs="仿宋"/>
          <w:sz w:val="28"/>
          <w:szCs w:val="28"/>
        </w:rPr>
        <w:t>法律专项</w:t>
      </w:r>
      <w:r>
        <w:rPr>
          <w:rFonts w:hint="eastAsia" w:ascii="仿宋" w:hAnsi="仿宋" w:eastAsia="仿宋" w:cs="仿宋"/>
          <w:sz w:val="28"/>
          <w:szCs w:val="28"/>
          <w:lang w:val="en-US" w:eastAsia="zh-CN"/>
        </w:rPr>
        <w:t>服务</w:t>
      </w:r>
      <w:bookmarkEnd w:id="9"/>
      <w:r>
        <w:rPr>
          <w:rFonts w:hint="eastAsia" w:ascii="仿宋" w:hAnsi="仿宋" w:eastAsia="仿宋" w:cs="仿宋"/>
          <w:sz w:val="28"/>
          <w:szCs w:val="28"/>
        </w:rPr>
        <w:t>项目进行询比采购，欢迎入选安徽出版集团法律中介机构备选库（2023-2026）</w:t>
      </w:r>
      <w:r>
        <w:rPr>
          <w:rFonts w:hint="eastAsia" w:ascii="仿宋" w:hAnsi="仿宋" w:eastAsia="仿宋" w:cs="仿宋"/>
          <w:sz w:val="28"/>
          <w:szCs w:val="28"/>
          <w:lang w:val="en-US" w:eastAsia="zh-CN"/>
        </w:rPr>
        <w:t>及集团外聘法律服务中介机构备选库增补名单</w:t>
      </w:r>
      <w:bookmarkStart w:id="10" w:name="OLE_LINK18"/>
      <w:bookmarkStart w:id="11" w:name="OLE_LINK20"/>
      <w:r>
        <w:rPr>
          <w:rFonts w:hint="eastAsia" w:ascii="仿宋" w:hAnsi="仿宋" w:eastAsia="仿宋" w:cs="仿宋"/>
          <w:sz w:val="28"/>
          <w:szCs w:val="28"/>
        </w:rPr>
        <w:t>组别</w:t>
      </w:r>
      <w:bookmarkEnd w:id="10"/>
      <w:r>
        <w:rPr>
          <w:rFonts w:hint="eastAsia" w:ascii="仿宋" w:hAnsi="仿宋" w:eastAsia="仿宋" w:cs="仿宋"/>
          <w:sz w:val="28"/>
          <w:szCs w:val="28"/>
          <w:lang w:val="en-US" w:eastAsia="zh-CN"/>
        </w:rPr>
        <w:t>一（公司/商事业务）或</w:t>
      </w:r>
      <w:bookmarkEnd w:id="11"/>
      <w:r>
        <w:rPr>
          <w:rFonts w:hint="eastAsia" w:ascii="仿宋" w:hAnsi="仿宋" w:eastAsia="仿宋" w:cs="仿宋"/>
          <w:sz w:val="28"/>
          <w:szCs w:val="28"/>
        </w:rPr>
        <w:t>组别二（企业合规、劳动法及法律风险管控业务）</w:t>
      </w:r>
      <w:r>
        <w:rPr>
          <w:rFonts w:hint="eastAsia" w:ascii="仿宋" w:hAnsi="仿宋" w:eastAsia="仿宋" w:cs="仿宋"/>
          <w:sz w:val="28"/>
          <w:szCs w:val="28"/>
          <w:lang w:val="en-US" w:eastAsia="zh-CN"/>
        </w:rPr>
        <w:t>律所</w:t>
      </w:r>
      <w:r>
        <w:rPr>
          <w:rFonts w:hint="eastAsia" w:ascii="仿宋" w:hAnsi="仿宋" w:eastAsia="仿宋" w:cs="仿宋"/>
          <w:sz w:val="28"/>
          <w:szCs w:val="28"/>
        </w:rPr>
        <w:t>参</w:t>
      </w:r>
      <w:r>
        <w:rPr>
          <w:rFonts w:hint="eastAsia" w:ascii="仿宋" w:hAnsi="仿宋" w:eastAsia="仿宋" w:cs="仿宋"/>
          <w:sz w:val="28"/>
          <w:szCs w:val="28"/>
          <w:lang w:val="en-US" w:eastAsia="zh-CN"/>
        </w:rPr>
        <w:t>比</w:t>
      </w:r>
      <w:r>
        <w:rPr>
          <w:rFonts w:hint="eastAsia" w:ascii="仿宋" w:hAnsi="仿宋" w:eastAsia="仿宋" w:cs="仿宋"/>
          <w:sz w:val="28"/>
          <w:szCs w:val="28"/>
        </w:rPr>
        <w:t>。</w:t>
      </w:r>
    </w:p>
    <w:p w14:paraId="772417D5">
      <w:pPr>
        <w:keepNext w:val="0"/>
        <w:keepLines w:val="0"/>
        <w:pageBreakBefore w:val="0"/>
        <w:kinsoku/>
        <w:wordWrap/>
        <w:overflowPunct/>
        <w:topLinePunct w:val="0"/>
        <w:autoSpaceDE/>
        <w:autoSpaceDN/>
        <w:bidi w:val="0"/>
        <w:adjustRightInd/>
        <w:snapToGrid/>
        <w:spacing w:line="560" w:lineRule="exact"/>
        <w:ind w:left="0" w:leftChars="0" w:right="0" w:firstLine="562" w:firstLineChars="200"/>
        <w:contextualSpacing/>
        <w:textAlignment w:val="auto"/>
        <w:rPr>
          <w:rFonts w:ascii="Times New Roman" w:hAnsi="Times New Roman"/>
          <w:b/>
          <w:bCs/>
          <w:color w:val="000000"/>
          <w:kern w:val="0"/>
          <w:sz w:val="28"/>
          <w:szCs w:val="28"/>
        </w:rPr>
      </w:pPr>
      <w:r>
        <w:rPr>
          <w:rFonts w:ascii="Times New Roman" w:hAnsi="仿宋_GB2312"/>
          <w:b/>
          <w:bCs/>
          <w:color w:val="000000"/>
          <w:kern w:val="0"/>
          <w:sz w:val="28"/>
          <w:szCs w:val="28"/>
        </w:rPr>
        <w:t>一、项目名称及内容</w:t>
      </w:r>
    </w:p>
    <w:p w14:paraId="2DB46479">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1、项目名称：</w:t>
      </w:r>
      <w:bookmarkStart w:id="12" w:name="OLE_LINK3"/>
      <w:bookmarkStart w:id="13" w:name="OLE_LINK4"/>
      <w:r>
        <w:rPr>
          <w:rFonts w:hint="eastAsia" w:ascii="仿宋" w:hAnsi="仿宋" w:eastAsia="仿宋" w:cs="仿宋"/>
          <w:sz w:val="28"/>
          <w:szCs w:val="28"/>
          <w:lang w:val="en-US" w:eastAsia="zh-CN"/>
        </w:rPr>
        <w:t>金寨红色文化</w:t>
      </w:r>
      <w:bookmarkEnd w:id="12"/>
      <w:r>
        <w:rPr>
          <w:rFonts w:hint="eastAsia" w:ascii="仿宋" w:hAnsi="仿宋" w:eastAsia="仿宋" w:cs="仿宋"/>
          <w:sz w:val="28"/>
          <w:szCs w:val="28"/>
          <w:lang w:val="en-US" w:eastAsia="zh-CN"/>
        </w:rPr>
        <w:t>发展有限公司</w:t>
      </w:r>
      <w:bookmarkEnd w:id="13"/>
      <w:r>
        <w:rPr>
          <w:rFonts w:hint="eastAsia" w:ascii="仿宋" w:hAnsi="仿宋" w:eastAsia="仿宋" w:cs="仿宋"/>
          <w:sz w:val="28"/>
          <w:szCs w:val="28"/>
          <w:lang w:val="en-US" w:eastAsia="zh-CN"/>
        </w:rPr>
        <w:t>注销全过程</w:t>
      </w:r>
      <w:r>
        <w:rPr>
          <w:rFonts w:hint="eastAsia" w:ascii="仿宋" w:hAnsi="仿宋" w:eastAsia="仿宋" w:cs="仿宋"/>
          <w:sz w:val="28"/>
          <w:szCs w:val="28"/>
        </w:rPr>
        <w:t>法律专项</w:t>
      </w:r>
      <w:r>
        <w:rPr>
          <w:rFonts w:hint="eastAsia" w:ascii="仿宋" w:hAnsi="仿宋" w:eastAsia="仿宋" w:cs="仿宋"/>
          <w:sz w:val="28"/>
          <w:szCs w:val="28"/>
          <w:lang w:val="en-US" w:eastAsia="zh-CN"/>
        </w:rPr>
        <w:t>服务</w:t>
      </w:r>
    </w:p>
    <w:p w14:paraId="1910486E">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highlight w:val="none"/>
        </w:rPr>
        <w:t>2、采购缘由：</w:t>
      </w:r>
      <w:bookmarkStart w:id="14" w:name="OLE_LINK34"/>
      <w:r>
        <w:rPr>
          <w:rFonts w:hint="eastAsia" w:ascii="仿宋" w:hAnsi="仿宋" w:eastAsia="仿宋" w:cs="仿宋"/>
          <w:sz w:val="28"/>
          <w:szCs w:val="28"/>
          <w:lang w:val="en-US" w:eastAsia="zh-CN"/>
        </w:rPr>
        <w:t>金寨红色文化发展有限公司</w:t>
      </w:r>
      <w:bookmarkEnd w:id="14"/>
      <w:r>
        <w:rPr>
          <w:rFonts w:hint="eastAsia" w:ascii="仿宋" w:hAnsi="仿宋" w:eastAsia="仿宋" w:cs="仿宋"/>
          <w:sz w:val="28"/>
          <w:szCs w:val="28"/>
          <w:lang w:val="en-US" w:eastAsia="zh-CN"/>
        </w:rPr>
        <w:t>现拟撤销</w:t>
      </w:r>
      <w:r>
        <w:rPr>
          <w:rFonts w:hint="eastAsia" w:ascii="仿宋" w:hAnsi="仿宋" w:eastAsia="仿宋" w:cs="仿宋"/>
          <w:color w:val="000000"/>
          <w:sz w:val="28"/>
          <w:szCs w:val="28"/>
        </w:rPr>
        <w:t>。</w:t>
      </w:r>
    </w:p>
    <w:p w14:paraId="1105FD3A">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560" w:firstLineChars="200"/>
        <w:contextualSpacing/>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color w:val="000000"/>
          <w:sz w:val="28"/>
          <w:szCs w:val="28"/>
        </w:rPr>
        <w:t>3、服务范围：</w:t>
      </w:r>
      <w:bookmarkStart w:id="15" w:name="OLE_LINK27"/>
      <w:r>
        <w:rPr>
          <w:rFonts w:hint="eastAsia" w:ascii="仿宋" w:hAnsi="仿宋" w:eastAsia="仿宋" w:cs="仿宋"/>
          <w:kern w:val="2"/>
          <w:sz w:val="28"/>
          <w:szCs w:val="28"/>
          <w:lang w:val="en-US" w:eastAsia="zh-CN" w:bidi="ar-SA"/>
        </w:rPr>
        <w:t>对</w:t>
      </w:r>
      <w:bookmarkStart w:id="16" w:name="OLE_LINK5"/>
      <w:r>
        <w:rPr>
          <w:rFonts w:hint="eastAsia" w:ascii="仿宋" w:hAnsi="仿宋" w:eastAsia="仿宋" w:cs="仿宋"/>
          <w:kern w:val="2"/>
          <w:sz w:val="28"/>
          <w:szCs w:val="28"/>
          <w:lang w:val="en-US" w:eastAsia="zh-CN" w:bidi="ar-SA"/>
        </w:rPr>
        <w:t>金寨红色文化发展有限公司注销</w:t>
      </w:r>
      <w:bookmarkEnd w:id="16"/>
      <w:r>
        <w:rPr>
          <w:rFonts w:hint="eastAsia" w:ascii="仿宋" w:hAnsi="仿宋" w:eastAsia="仿宋" w:cs="仿宋"/>
          <w:kern w:val="2"/>
          <w:sz w:val="28"/>
          <w:szCs w:val="28"/>
          <w:lang w:val="en-US" w:eastAsia="zh-CN" w:bidi="ar-SA"/>
        </w:rPr>
        <w:t>提供全过程法律服务。</w:t>
      </w:r>
      <w:bookmarkEnd w:id="15"/>
      <w:r>
        <w:rPr>
          <w:rFonts w:hint="eastAsia" w:ascii="仿宋" w:hAnsi="仿宋" w:eastAsia="仿宋" w:cs="仿宋"/>
          <w:kern w:val="2"/>
          <w:sz w:val="28"/>
          <w:szCs w:val="28"/>
          <w:lang w:val="en-US" w:eastAsia="zh-CN" w:bidi="ar-SA"/>
        </w:rPr>
        <w:t>金寨红色文化发展有限公司为</w:t>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"https://www.so.com/link?m=wCjzJ4q9jh%2Fq9Ylgu4Eq0DgoDHqrndKM1ZQqUaB5%2B1spDmA%2Bsk%2BgD8uO%2FjxdKgPFvwdMS7%2FYXGdPhzKt8GXxvXTqecF8wseTCsvKYncl92%2BNq1uxVOQKy%2FYSbYSISIh3lPTlE1qvJcJTniZKXMxU0q8BtCpteOWu52ZMF9eZOnUoHpxVBvJlds4c%2FNrbC7PLesAXWiGg8VMMEKl5spfSr9fc8H08%3D" \t "_blank"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安徽文化旅游投资集团有限责任公司</w:t>
      </w:r>
      <w:r>
        <w:rPr>
          <w:rFonts w:hint="eastAsia" w:ascii="仿宋" w:hAnsi="仿宋" w:eastAsia="仿宋" w:cs="仿宋"/>
          <w:kern w:val="2"/>
          <w:sz w:val="28"/>
          <w:szCs w:val="28"/>
          <w:lang w:val="en-US" w:eastAsia="zh-CN" w:bidi="ar-SA"/>
        </w:rPr>
        <w:fldChar w:fldCharType="end"/>
      </w:r>
      <w:r>
        <w:rPr>
          <w:rFonts w:hint="eastAsia" w:ascii="仿宋" w:hAnsi="仿宋" w:eastAsia="仿宋" w:cs="仿宋"/>
          <w:kern w:val="2"/>
          <w:sz w:val="28"/>
          <w:szCs w:val="28"/>
          <w:lang w:val="en-US" w:eastAsia="zh-CN" w:bidi="ar-SA"/>
        </w:rPr>
        <w:t>下属全资子公司，成立于2017年5月，注册资本金1亿元，实缴2899.71万元。</w:t>
      </w:r>
    </w:p>
    <w:p w14:paraId="4838DBE5">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4、项目类别：服务采购。</w:t>
      </w:r>
    </w:p>
    <w:p w14:paraId="59754AA8">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560" w:firstLineChars="200"/>
        <w:contextualSpacing/>
        <w:jc w:val="both"/>
        <w:textAlignment w:val="auto"/>
        <w:rPr>
          <w:rFonts w:hint="eastAsia" w:ascii="仿宋" w:hAnsi="仿宋" w:eastAsia="仿宋" w:cs="仿宋"/>
          <w:kern w:val="2"/>
          <w:sz w:val="28"/>
          <w:szCs w:val="28"/>
        </w:rPr>
      </w:pPr>
      <w:r>
        <w:rPr>
          <w:rFonts w:hint="eastAsia" w:ascii="仿宋" w:hAnsi="仿宋" w:eastAsia="仿宋" w:cs="仿宋"/>
          <w:sz w:val="28"/>
          <w:szCs w:val="28"/>
        </w:rPr>
        <w:t>5、最高投标限价</w:t>
      </w:r>
      <w:r>
        <w:rPr>
          <w:rFonts w:hint="eastAsia" w:ascii="仿宋" w:hAnsi="仿宋" w:eastAsia="仿宋" w:cs="仿宋"/>
          <w:kern w:val="2"/>
          <w:sz w:val="28"/>
          <w:szCs w:val="28"/>
          <w:lang w:val="en-US" w:eastAsia="zh-CN"/>
        </w:rPr>
        <w:t>：</w:t>
      </w:r>
      <w:r>
        <w:rPr>
          <w:rFonts w:hint="eastAsia" w:ascii="仿宋" w:hAnsi="仿宋" w:eastAsia="仿宋" w:cs="仿宋"/>
          <w:kern w:val="2"/>
          <w:sz w:val="28"/>
          <w:szCs w:val="28"/>
          <w:highlight w:val="none"/>
          <w:lang w:val="en-US" w:eastAsia="zh-CN"/>
        </w:rPr>
        <w:t>全程服务费8.7万元</w:t>
      </w:r>
      <w:r>
        <w:rPr>
          <w:rFonts w:hint="eastAsia" w:ascii="仿宋" w:hAnsi="仿宋" w:eastAsia="仿宋" w:cs="仿宋"/>
          <w:kern w:val="2"/>
          <w:sz w:val="28"/>
          <w:szCs w:val="28"/>
          <w:highlight w:val="none"/>
        </w:rPr>
        <w:t>。</w:t>
      </w:r>
    </w:p>
    <w:p w14:paraId="673F4957">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560" w:firstLineChars="200"/>
        <w:contextualSpacing/>
        <w:jc w:val="both"/>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6、评标方法：综合评分法。</w:t>
      </w:r>
    </w:p>
    <w:p w14:paraId="73AD9794">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、服务期限：</w:t>
      </w:r>
      <w:bookmarkStart w:id="17" w:name="OLE_LINK28"/>
      <w:r>
        <w:rPr>
          <w:rFonts w:hint="eastAsia" w:ascii="仿宋" w:hAnsi="仿宋" w:eastAsia="仿宋" w:cs="仿宋"/>
          <w:sz w:val="28"/>
          <w:szCs w:val="28"/>
          <w:lang w:val="en-US" w:eastAsia="zh-CN"/>
        </w:rPr>
        <w:t>至</w:t>
      </w:r>
      <w:r>
        <w:rPr>
          <w:rFonts w:hint="eastAsia" w:ascii="仿宋" w:hAnsi="仿宋" w:eastAsia="仿宋" w:cs="仿宋"/>
          <w:kern w:val="2"/>
          <w:sz w:val="28"/>
          <w:szCs w:val="28"/>
          <w:lang w:val="en-US" w:eastAsia="zh-CN" w:bidi="ar-SA"/>
        </w:rPr>
        <w:t>金寨红色文化发展有限公司（含下属公司）注销</w:t>
      </w:r>
      <w:r>
        <w:rPr>
          <w:rFonts w:hint="eastAsia" w:ascii="仿宋" w:hAnsi="仿宋" w:eastAsia="仿宋" w:cs="仿宋"/>
          <w:sz w:val="28"/>
          <w:szCs w:val="28"/>
          <w:lang w:val="en-US" w:eastAsia="zh-CN"/>
        </w:rPr>
        <w:t>事项</w:t>
      </w:r>
      <w:r>
        <w:rPr>
          <w:rFonts w:hint="eastAsia" w:ascii="仿宋" w:hAnsi="仿宋" w:eastAsia="仿宋" w:cs="仿宋"/>
          <w:sz w:val="28"/>
          <w:szCs w:val="28"/>
        </w:rPr>
        <w:t>全部终结。</w:t>
      </w:r>
      <w:bookmarkEnd w:id="17"/>
    </w:p>
    <w:p w14:paraId="3167FF31">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中标后</w:t>
      </w:r>
      <w:r>
        <w:rPr>
          <w:rFonts w:hint="eastAsia" w:ascii="仿宋" w:hAnsi="仿宋" w:eastAsia="仿宋" w:cs="仿宋"/>
          <w:sz w:val="28"/>
          <w:szCs w:val="28"/>
          <w:lang w:val="en-US" w:eastAsia="zh-CN"/>
        </w:rPr>
        <w:t>若产生劳动仲裁和诉讼案件，</w:t>
      </w:r>
      <w:r>
        <w:rPr>
          <w:rFonts w:hint="eastAsia" w:ascii="仿宋" w:hAnsi="仿宋" w:eastAsia="仿宋" w:cs="仿宋"/>
          <w:sz w:val="28"/>
          <w:szCs w:val="28"/>
        </w:rPr>
        <w:t>中标人</w:t>
      </w:r>
      <w:r>
        <w:rPr>
          <w:rFonts w:hint="eastAsia" w:ascii="仿宋" w:hAnsi="仿宋" w:eastAsia="仿宋" w:cs="仿宋"/>
          <w:sz w:val="28"/>
          <w:szCs w:val="28"/>
          <w:lang w:val="en-US" w:eastAsia="zh-CN"/>
        </w:rPr>
        <w:t>代理费用按照中标单位应标的折扣率执行</w:t>
      </w:r>
      <w:r>
        <w:rPr>
          <w:rFonts w:hint="eastAsia" w:ascii="仿宋" w:hAnsi="仿宋" w:eastAsia="仿宋" w:cs="仿宋"/>
          <w:sz w:val="28"/>
          <w:szCs w:val="28"/>
        </w:rPr>
        <w:t>。</w:t>
      </w:r>
    </w:p>
    <w:p w14:paraId="793F06D5">
      <w:pPr>
        <w:keepNext w:val="0"/>
        <w:keepLines w:val="0"/>
        <w:pageBreakBefore w:val="0"/>
        <w:kinsoku/>
        <w:wordWrap/>
        <w:overflowPunct/>
        <w:topLinePunct w:val="0"/>
        <w:autoSpaceDE/>
        <w:autoSpaceDN/>
        <w:bidi w:val="0"/>
        <w:adjustRightInd/>
        <w:snapToGrid/>
        <w:spacing w:line="560" w:lineRule="exact"/>
        <w:ind w:left="0" w:leftChars="0" w:right="0" w:firstLine="562" w:firstLineChars="200"/>
        <w:contextualSpacing/>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二、服务内容</w:t>
      </w:r>
    </w:p>
    <w:p w14:paraId="49B73916">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firstLine="560" w:firstLineChars="200"/>
        <w:contextualSpacing/>
        <w:jc w:val="both"/>
        <w:textAlignment w:val="auto"/>
        <w:rPr>
          <w:rFonts w:hint="eastAsia" w:ascii="仿宋" w:hAnsi="仿宋" w:eastAsia="仿宋" w:cs="仿宋"/>
          <w:sz w:val="28"/>
          <w:szCs w:val="28"/>
          <w:lang w:val="en-US" w:eastAsia="zh-CN"/>
        </w:rPr>
      </w:pPr>
      <w:bookmarkStart w:id="18" w:name="OLE_LINK26"/>
      <w:r>
        <w:rPr>
          <w:rFonts w:hint="eastAsia" w:ascii="仿宋" w:hAnsi="仿宋" w:eastAsia="仿宋" w:cs="仿宋"/>
          <w:kern w:val="2"/>
          <w:sz w:val="28"/>
          <w:szCs w:val="28"/>
          <w:lang w:val="en-US" w:eastAsia="zh-CN" w:bidi="ar-SA"/>
        </w:rPr>
        <w:t>咨询、起草清算文件、处理债权债务纠纷、确保注销程序符合《公司法》及相关法规，需出具法律意见书、清算方案审查报告、债权债务处理报告、程序合规报告等，对于注销前存在未决诉讼，需进行专项说明；涉及职工安置需审查职工安置方案。</w:t>
      </w:r>
      <w:r>
        <w:rPr>
          <w:rFonts w:hint="eastAsia" w:ascii="仿宋" w:hAnsi="仿宋" w:eastAsia="仿宋" w:cs="仿宋"/>
          <w:sz w:val="28"/>
          <w:szCs w:val="28"/>
        </w:rPr>
        <w:t>处理涉及裁员对象的信访、仲裁、诉讼等法律事务。</w:t>
      </w:r>
      <w:bookmarkEnd w:id="18"/>
      <w:bookmarkStart w:id="19" w:name="OLE_LINK29"/>
      <w:bookmarkStart w:id="20" w:name="OLE_LINK30"/>
      <w:r>
        <w:rPr>
          <w:rFonts w:hint="eastAsia" w:ascii="仿宋" w:hAnsi="仿宋" w:eastAsia="仿宋" w:cs="仿宋"/>
          <w:sz w:val="28"/>
          <w:szCs w:val="28"/>
          <w:lang w:val="en-US" w:eastAsia="zh-CN"/>
        </w:rPr>
        <w:t>代理注销过程中有可能发生的其他诉讼案件。</w:t>
      </w:r>
      <w:bookmarkEnd w:id="19"/>
    </w:p>
    <w:bookmarkEnd w:id="20"/>
    <w:p w14:paraId="39A52DBA">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sz w:val="28"/>
          <w:szCs w:val="28"/>
        </w:rPr>
        <w:t>供应商资格条件</w:t>
      </w:r>
    </w:p>
    <w:p w14:paraId="27C4D88B">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1、律师事务所资格要求：</w:t>
      </w:r>
    </w:p>
    <w:p w14:paraId="5C6E7E47">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（1）</w:t>
      </w:r>
      <w:bookmarkStart w:id="21" w:name="OLE_LINK8"/>
      <w:r>
        <w:rPr>
          <w:rFonts w:hint="eastAsia" w:ascii="仿宋" w:hAnsi="仿宋" w:eastAsia="仿宋" w:cs="仿宋"/>
          <w:sz w:val="28"/>
          <w:szCs w:val="28"/>
        </w:rPr>
        <w:t>入选安徽出版集团法律中介机构备选库（2023-2026）</w:t>
      </w:r>
      <w:r>
        <w:rPr>
          <w:rFonts w:hint="eastAsia" w:ascii="仿宋" w:hAnsi="仿宋" w:eastAsia="仿宋" w:cs="仿宋"/>
          <w:sz w:val="28"/>
          <w:szCs w:val="28"/>
          <w:lang w:val="en-US" w:eastAsia="zh-CN"/>
        </w:rPr>
        <w:t>及集团外聘法律服务中介机构备选库增补名单</w:t>
      </w:r>
      <w:r>
        <w:rPr>
          <w:rFonts w:hint="eastAsia" w:ascii="仿宋" w:hAnsi="仿宋" w:eastAsia="仿宋" w:cs="仿宋"/>
          <w:sz w:val="28"/>
          <w:szCs w:val="28"/>
        </w:rPr>
        <w:t>组别</w:t>
      </w:r>
      <w:r>
        <w:rPr>
          <w:rFonts w:hint="eastAsia" w:ascii="仿宋" w:hAnsi="仿宋" w:eastAsia="仿宋" w:cs="仿宋"/>
          <w:sz w:val="28"/>
          <w:szCs w:val="28"/>
          <w:lang w:val="en-US" w:eastAsia="zh-CN"/>
        </w:rPr>
        <w:t>一（公司/商事业务）或</w:t>
      </w:r>
      <w:r>
        <w:rPr>
          <w:rFonts w:hint="eastAsia" w:ascii="仿宋" w:hAnsi="仿宋" w:eastAsia="仿宋" w:cs="仿宋"/>
          <w:sz w:val="28"/>
          <w:szCs w:val="28"/>
        </w:rPr>
        <w:t>组别二（企业合规、劳动法及法律风险管控业务）</w:t>
      </w:r>
      <w:bookmarkEnd w:id="21"/>
      <w:r>
        <w:rPr>
          <w:rFonts w:hint="eastAsia" w:ascii="仿宋" w:hAnsi="仿宋" w:eastAsia="仿宋" w:cs="仿宋"/>
          <w:sz w:val="28"/>
          <w:szCs w:val="28"/>
          <w:lang w:eastAsia="zh-CN"/>
        </w:rPr>
        <w:t>。</w:t>
      </w:r>
    </w:p>
    <w:p w14:paraId="10026D17">
      <w:pPr>
        <w:pStyle w:val="13"/>
        <w:keepNext w:val="0"/>
        <w:keepLines w:val="0"/>
        <w:pageBreakBefore w:val="0"/>
        <w:kinsoku/>
        <w:wordWrap/>
        <w:overflowPunct/>
        <w:topLinePunct w:val="0"/>
        <w:autoSpaceDE/>
        <w:autoSpaceDN/>
        <w:bidi w:val="0"/>
        <w:adjustRightInd/>
        <w:snapToGrid/>
        <w:spacing w:line="560" w:lineRule="exact"/>
        <w:ind w:left="0" w:leftChars="0" w:right="0" w:firstLine="560"/>
        <w:contextualSpacing/>
        <w:textAlignment w:val="auto"/>
        <w:rPr>
          <w:rFonts w:hint="eastAsia" w:ascii="仿宋" w:hAnsi="仿宋" w:eastAsia="仿宋" w:cs="仿宋"/>
          <w:sz w:val="28"/>
          <w:szCs w:val="28"/>
        </w:rPr>
      </w:pPr>
      <w:r>
        <w:rPr>
          <w:rFonts w:hint="eastAsia" w:ascii="仿宋" w:hAnsi="仿宋" w:eastAsia="仿宋" w:cs="仿宋"/>
          <w:sz w:val="28"/>
          <w:szCs w:val="28"/>
        </w:rPr>
        <w:t>（2）截止采购公告发布之日，与</w:t>
      </w:r>
      <w:r>
        <w:rPr>
          <w:rFonts w:hint="eastAsia" w:ascii="仿宋" w:hAnsi="仿宋" w:eastAsia="仿宋" w:cs="仿宋"/>
          <w:sz w:val="28"/>
          <w:szCs w:val="28"/>
          <w:lang w:val="en-US" w:eastAsia="zh-CN"/>
        </w:rPr>
        <w:t>金寨红色文化发展有限公司</w:t>
      </w:r>
      <w:r>
        <w:rPr>
          <w:rFonts w:hint="eastAsia" w:ascii="仿宋" w:hAnsi="仿宋" w:eastAsia="仿宋" w:cs="仿宋"/>
          <w:sz w:val="28"/>
          <w:szCs w:val="28"/>
        </w:rPr>
        <w:t>利益冲突人存在代理或其他业务关系的不得参加本项目投标。（提供承诺）</w:t>
      </w:r>
    </w:p>
    <w:p w14:paraId="62231A03">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2、律师事务所指派律师团队资格要求：</w:t>
      </w:r>
    </w:p>
    <w:p w14:paraId="0D11C6FE">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律师团队人员必须在安徽出版集团法律中介机构备选库（2023-2026）</w:t>
      </w:r>
      <w:r>
        <w:rPr>
          <w:rFonts w:hint="eastAsia" w:ascii="仿宋" w:hAnsi="仿宋" w:eastAsia="仿宋" w:cs="仿宋"/>
          <w:sz w:val="28"/>
          <w:szCs w:val="28"/>
          <w:lang w:val="en-US" w:eastAsia="zh-CN"/>
        </w:rPr>
        <w:t>及集团外聘法律服务中介机构备选库增补名单</w:t>
      </w:r>
      <w:r>
        <w:rPr>
          <w:rFonts w:hint="eastAsia" w:ascii="仿宋" w:hAnsi="仿宋" w:eastAsia="仿宋" w:cs="仿宋"/>
          <w:sz w:val="28"/>
          <w:szCs w:val="28"/>
        </w:rPr>
        <w:t>组别</w:t>
      </w:r>
      <w:r>
        <w:rPr>
          <w:rFonts w:hint="eastAsia" w:ascii="仿宋" w:hAnsi="仿宋" w:eastAsia="仿宋" w:cs="仿宋"/>
          <w:sz w:val="28"/>
          <w:szCs w:val="28"/>
          <w:lang w:val="en-US" w:eastAsia="zh-CN"/>
        </w:rPr>
        <w:t>一或</w:t>
      </w:r>
      <w:r>
        <w:rPr>
          <w:rFonts w:hint="eastAsia" w:ascii="仿宋" w:hAnsi="仿宋" w:eastAsia="仿宋" w:cs="仿宋"/>
          <w:sz w:val="28"/>
          <w:szCs w:val="28"/>
        </w:rPr>
        <w:t>组别二团队人员范围内。</w:t>
      </w:r>
    </w:p>
    <w:p w14:paraId="1B189A7B">
      <w:pPr>
        <w:keepNext w:val="0"/>
        <w:keepLines w:val="0"/>
        <w:pageBreakBefore w:val="0"/>
        <w:tabs>
          <w:tab w:val="left" w:pos="263"/>
        </w:tabs>
        <w:kinsoku/>
        <w:wordWrap/>
        <w:overflowPunct/>
        <w:topLinePunct w:val="0"/>
        <w:autoSpaceDE/>
        <w:autoSpaceDN/>
        <w:bidi w:val="0"/>
        <w:adjustRightInd/>
        <w:snapToGrid/>
        <w:spacing w:line="560" w:lineRule="exact"/>
        <w:ind w:left="0" w:leftChars="0" w:right="0" w:firstLine="560" w:firstLineChars="200"/>
        <w:contextualSpacing/>
        <w:jc w:val="left"/>
        <w:textAlignment w:val="auto"/>
        <w:rPr>
          <w:rFonts w:hint="eastAsia" w:ascii="仿宋" w:hAnsi="仿宋" w:eastAsia="仿宋" w:cs="仿宋"/>
          <w:sz w:val="28"/>
          <w:szCs w:val="28"/>
        </w:rPr>
      </w:pPr>
      <w:r>
        <w:rPr>
          <w:rFonts w:hint="eastAsia" w:ascii="仿宋" w:hAnsi="仿宋" w:eastAsia="仿宋" w:cs="仿宋"/>
          <w:sz w:val="28"/>
          <w:szCs w:val="28"/>
        </w:rPr>
        <w:t>3、本次询比</w:t>
      </w:r>
      <w:r>
        <w:rPr>
          <w:rFonts w:hint="eastAsia" w:ascii="仿宋" w:hAnsi="仿宋" w:eastAsia="仿宋" w:cs="仿宋"/>
          <w:sz w:val="28"/>
          <w:szCs w:val="28"/>
          <w:u w:val="single"/>
        </w:rPr>
        <w:t xml:space="preserve"> 不接受 </w:t>
      </w:r>
      <w:r>
        <w:rPr>
          <w:rFonts w:hint="eastAsia" w:ascii="仿宋" w:hAnsi="仿宋" w:eastAsia="仿宋" w:cs="仿宋"/>
          <w:sz w:val="28"/>
          <w:szCs w:val="28"/>
        </w:rPr>
        <w:t>联合体报价。</w:t>
      </w:r>
    </w:p>
    <w:p w14:paraId="3B11E8F5">
      <w:pPr>
        <w:keepNext w:val="0"/>
        <w:keepLines w:val="0"/>
        <w:pageBreakBefore w:val="0"/>
        <w:tabs>
          <w:tab w:val="left" w:pos="263"/>
        </w:tabs>
        <w:kinsoku/>
        <w:wordWrap/>
        <w:overflowPunct/>
        <w:topLinePunct w:val="0"/>
        <w:autoSpaceDE/>
        <w:autoSpaceDN/>
        <w:bidi w:val="0"/>
        <w:adjustRightInd/>
        <w:snapToGrid/>
        <w:spacing w:line="560" w:lineRule="exact"/>
        <w:ind w:left="0" w:leftChars="0" w:right="0" w:firstLine="640"/>
        <w:contextualSpacing/>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四、文件材料要求</w:t>
      </w:r>
    </w:p>
    <w:p w14:paraId="113EED1B">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参比单位应当按照响应文件要求提交相关文件材料，详见“</w:t>
      </w:r>
      <w:r>
        <w:rPr>
          <w:rFonts w:hint="eastAsia" w:ascii="仿宋" w:hAnsi="仿宋" w:eastAsia="仿宋" w:cs="仿宋"/>
          <w:sz w:val="28"/>
          <w:szCs w:val="28"/>
        </w:rPr>
        <w:t>第五章响应文件格式</w:t>
      </w:r>
      <w:r>
        <w:rPr>
          <w:rFonts w:hint="eastAsia" w:ascii="仿宋" w:hAnsi="仿宋" w:eastAsia="仿宋" w:cs="仿宋"/>
          <w:color w:val="000000"/>
          <w:sz w:val="28"/>
          <w:szCs w:val="28"/>
          <w:shd w:val="clear" w:color="auto" w:fill="FFFFFF"/>
        </w:rPr>
        <w:t>”。</w:t>
      </w:r>
    </w:p>
    <w:p w14:paraId="0071EBDF">
      <w:pPr>
        <w:keepNext w:val="0"/>
        <w:keepLines w:val="0"/>
        <w:pageBreakBefore w:val="0"/>
        <w:kinsoku/>
        <w:wordWrap/>
        <w:overflowPunct/>
        <w:topLinePunct w:val="0"/>
        <w:autoSpaceDE/>
        <w:autoSpaceDN/>
        <w:bidi w:val="0"/>
        <w:adjustRightInd/>
        <w:snapToGrid/>
        <w:spacing w:line="560" w:lineRule="exact"/>
        <w:ind w:left="0" w:leftChars="0" w:right="0" w:firstLine="562"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五、</w:t>
      </w:r>
      <w:r>
        <w:rPr>
          <w:rStyle w:val="17"/>
          <w:rFonts w:hint="eastAsia" w:ascii="仿宋" w:hAnsi="仿宋" w:eastAsia="仿宋" w:cs="仿宋"/>
          <w:sz w:val="28"/>
          <w:szCs w:val="28"/>
        </w:rPr>
        <w:t>询比程序</w:t>
      </w:r>
    </w:p>
    <w:p w14:paraId="2D0D3971">
      <w:pPr>
        <w:pStyle w:val="1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响应文件递交</w:t>
      </w:r>
      <w:r>
        <w:rPr>
          <w:rFonts w:hint="eastAsia" w:ascii="仿宋" w:hAnsi="仿宋" w:eastAsia="仿宋" w:cs="仿宋"/>
          <w:sz w:val="28"/>
          <w:szCs w:val="28"/>
        </w:rPr>
        <w:t>方式</w:t>
      </w:r>
    </w:p>
    <w:p w14:paraId="13D049DE">
      <w:pPr>
        <w:pStyle w:val="1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符合条件且有意愿参与的律师事务所，于</w:t>
      </w:r>
      <w:r>
        <w:rPr>
          <w:rFonts w:hint="eastAsia" w:ascii="仿宋" w:hAnsi="仿宋" w:eastAsia="仿宋" w:cs="仿宋"/>
          <w:b/>
          <w:bCs/>
          <w:sz w:val="28"/>
          <w:szCs w:val="28"/>
          <w:lang w:val="en-US" w:eastAsia="zh-CN"/>
        </w:rPr>
        <w:t>2025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14</w:t>
      </w:r>
      <w:r>
        <w:rPr>
          <w:rFonts w:hint="eastAsia" w:ascii="仿宋" w:hAnsi="仿宋" w:eastAsia="仿宋" w:cs="仿宋"/>
          <w:b/>
          <w:bCs/>
          <w:sz w:val="28"/>
          <w:szCs w:val="28"/>
        </w:rPr>
        <w:t>日</w:t>
      </w:r>
      <w:r>
        <w:rPr>
          <w:rFonts w:hint="eastAsia" w:ascii="仿宋" w:hAnsi="仿宋" w:eastAsia="仿宋" w:cs="仿宋"/>
          <w:b/>
          <w:bCs/>
          <w:sz w:val="28"/>
          <w:szCs w:val="28"/>
          <w:lang w:val="en-US" w:eastAsia="zh-CN"/>
        </w:rPr>
        <w:t>10：00</w:t>
      </w:r>
      <w:r>
        <w:rPr>
          <w:rFonts w:hint="eastAsia" w:ascii="仿宋" w:hAnsi="仿宋" w:eastAsia="仿宋" w:cs="仿宋"/>
          <w:sz w:val="28"/>
          <w:szCs w:val="28"/>
        </w:rPr>
        <w:t>之前将响应文件（密封，加盖骑缝章）一式</w:t>
      </w:r>
      <w:r>
        <w:rPr>
          <w:rFonts w:hint="eastAsia" w:ascii="仿宋" w:hAnsi="仿宋" w:eastAsia="仿宋" w:cs="仿宋"/>
          <w:sz w:val="28"/>
          <w:szCs w:val="28"/>
          <w:lang w:val="en-US" w:eastAsia="zh-CN"/>
        </w:rPr>
        <w:t>一</w:t>
      </w:r>
      <w:r>
        <w:rPr>
          <w:rFonts w:hint="eastAsia" w:ascii="仿宋" w:hAnsi="仿宋" w:eastAsia="仿宋" w:cs="仿宋"/>
          <w:sz w:val="28"/>
          <w:szCs w:val="28"/>
        </w:rPr>
        <w:t>份报送或寄送至安徽省合肥市</w:t>
      </w:r>
      <w:bookmarkStart w:id="22" w:name="OLE_LINK7"/>
      <w:r>
        <w:rPr>
          <w:rFonts w:hint="eastAsia" w:ascii="仿宋" w:hAnsi="仿宋" w:eastAsia="仿宋" w:cs="仿宋"/>
          <w:sz w:val="28"/>
          <w:szCs w:val="28"/>
          <w:lang w:val="en-US" w:eastAsia="zh-CN"/>
        </w:rPr>
        <w:t>蜀山区黄山路599号时代数码港23层2307室</w:t>
      </w:r>
      <w:r>
        <w:rPr>
          <w:rFonts w:hint="eastAsia" w:ascii="仿宋" w:hAnsi="仿宋" w:eastAsia="仿宋" w:cs="仿宋"/>
          <w:sz w:val="28"/>
          <w:szCs w:val="28"/>
        </w:rPr>
        <w:t>。</w:t>
      </w:r>
      <w:bookmarkEnd w:id="22"/>
    </w:p>
    <w:p w14:paraId="3F685A27">
      <w:pPr>
        <w:pStyle w:val="1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2、评审</w:t>
      </w:r>
    </w:p>
    <w:p w14:paraId="4EE766DF">
      <w:pPr>
        <w:pStyle w:val="12"/>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按照公开、公平、公正的原则进行评审。并按综合得分从高到低排序，确定1家律师事务所作为服务提供单位。</w:t>
      </w:r>
    </w:p>
    <w:p w14:paraId="1EF5E13A">
      <w:pPr>
        <w:pStyle w:val="25"/>
        <w:keepNext w:val="0"/>
        <w:keepLines w:val="0"/>
        <w:pageBreakBefore w:val="0"/>
        <w:tabs>
          <w:tab w:val="left" w:pos="1012"/>
        </w:tabs>
        <w:kinsoku/>
        <w:wordWrap/>
        <w:overflowPunct/>
        <w:topLinePunct w:val="0"/>
        <w:autoSpaceDE/>
        <w:autoSpaceDN/>
        <w:bidi w:val="0"/>
        <w:adjustRightInd/>
        <w:snapToGrid/>
        <w:spacing w:line="560" w:lineRule="exact"/>
        <w:ind w:left="0" w:leftChars="0" w:right="0" w:firstLine="560"/>
        <w:contextualSpacing/>
        <w:jc w:val="both"/>
        <w:textAlignment w:val="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评标工作由发包方组织实施，评标时投标人无须到场，法定代表人或委托代理人须保持电话通畅。</w:t>
      </w:r>
    </w:p>
    <w:p w14:paraId="475FFA44">
      <w:pPr>
        <w:pStyle w:val="25"/>
        <w:keepNext w:val="0"/>
        <w:keepLines w:val="0"/>
        <w:pageBreakBefore w:val="0"/>
        <w:tabs>
          <w:tab w:val="left" w:pos="1012"/>
        </w:tabs>
        <w:kinsoku/>
        <w:wordWrap/>
        <w:overflowPunct/>
        <w:topLinePunct w:val="0"/>
        <w:autoSpaceDE/>
        <w:autoSpaceDN/>
        <w:bidi w:val="0"/>
        <w:adjustRightInd/>
        <w:snapToGrid/>
        <w:spacing w:line="560" w:lineRule="exact"/>
        <w:ind w:left="0" w:leftChars="0" w:right="0" w:firstLine="560"/>
        <w:contextualSpacing/>
        <w:jc w:val="both"/>
        <w:textAlignment w:val="auto"/>
        <w:rPr>
          <w:rFonts w:hint="eastAsia" w:ascii="仿宋" w:hAnsi="仿宋" w:eastAsia="仿宋" w:cs="仿宋"/>
          <w:b/>
          <w:sz w:val="28"/>
          <w:szCs w:val="28"/>
          <w:lang w:val="en-US" w:eastAsia="zh-CN" w:bidi="ar-SA"/>
        </w:rPr>
      </w:pPr>
      <w:r>
        <w:rPr>
          <w:rFonts w:hint="eastAsia" w:ascii="仿宋" w:hAnsi="仿宋" w:eastAsia="仿宋" w:cs="仿宋"/>
          <w:sz w:val="28"/>
          <w:szCs w:val="28"/>
          <w:lang w:val="en-US" w:eastAsia="zh-CN" w:bidi="ar-SA"/>
        </w:rPr>
        <w:t>评审时间：</w:t>
      </w:r>
      <w:r>
        <w:rPr>
          <w:rFonts w:hint="eastAsia" w:ascii="仿宋" w:hAnsi="仿宋" w:eastAsia="仿宋" w:cs="仿宋"/>
          <w:b/>
          <w:sz w:val="28"/>
          <w:szCs w:val="28"/>
          <w:lang w:val="en-US" w:eastAsia="zh-CN" w:bidi="ar-SA"/>
        </w:rPr>
        <w:t>2025年4月14日下午14：00。</w:t>
      </w:r>
    </w:p>
    <w:p w14:paraId="01DDFB9E">
      <w:pPr>
        <w:keepNext w:val="0"/>
        <w:keepLines w:val="0"/>
        <w:pageBreakBefore w:val="0"/>
        <w:kinsoku/>
        <w:wordWrap/>
        <w:overflowPunct/>
        <w:topLinePunct w:val="0"/>
        <w:autoSpaceDE/>
        <w:autoSpaceDN/>
        <w:bidi w:val="0"/>
        <w:adjustRightInd/>
        <w:snapToGrid/>
        <w:spacing w:line="560" w:lineRule="exact"/>
        <w:ind w:left="0" w:leftChars="0" w:right="0" w:firstLine="64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六、联系方式</w:t>
      </w:r>
    </w:p>
    <w:p w14:paraId="5CF06E98">
      <w:pPr>
        <w:keepNext w:val="0"/>
        <w:keepLines w:val="0"/>
        <w:pageBreakBefore w:val="0"/>
        <w:kinsoku/>
        <w:wordWrap/>
        <w:overflowPunct/>
        <w:topLinePunct w:val="0"/>
        <w:autoSpaceDE/>
        <w:autoSpaceDN/>
        <w:bidi w:val="0"/>
        <w:adjustRightInd/>
        <w:snapToGrid/>
        <w:spacing w:line="560" w:lineRule="exact"/>
        <w:ind w:left="0" w:leftChars="0" w:right="0" w:firstLine="560" w:firstLineChars="200"/>
        <w:contextualSpacing/>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 xml:space="preserve">胡工    </w:t>
      </w:r>
      <w:r>
        <w:rPr>
          <w:rFonts w:hint="eastAsia" w:ascii="仿宋" w:hAnsi="仿宋" w:eastAsia="仿宋" w:cs="仿宋"/>
          <w:sz w:val="28"/>
          <w:szCs w:val="28"/>
        </w:rPr>
        <w:t xml:space="preserve">  联系电话：</w:t>
      </w:r>
      <w:bookmarkStart w:id="23" w:name="OLE_LINK23"/>
      <w:r>
        <w:rPr>
          <w:rFonts w:hint="eastAsia" w:ascii="仿宋" w:hAnsi="仿宋" w:eastAsia="仿宋" w:cs="仿宋"/>
          <w:sz w:val="28"/>
          <w:szCs w:val="28"/>
          <w:lang w:val="en-US" w:eastAsia="zh-CN"/>
        </w:rPr>
        <w:t>16655163530</w:t>
      </w:r>
    </w:p>
    <w:bookmarkEnd w:id="23"/>
    <w:p w14:paraId="1CEFA0B9">
      <w:pPr>
        <w:keepNext w:val="0"/>
        <w:keepLines w:val="0"/>
        <w:pageBreakBefore w:val="0"/>
        <w:kinsoku/>
        <w:wordWrap/>
        <w:overflowPunct/>
        <w:topLinePunct w:val="0"/>
        <w:autoSpaceDE/>
        <w:autoSpaceDN/>
        <w:bidi w:val="0"/>
        <w:adjustRightInd/>
        <w:snapToGrid/>
        <w:spacing w:line="560" w:lineRule="exact"/>
        <w:ind w:left="0" w:leftChars="0" w:right="0"/>
        <w:contextualSpacing/>
        <w:textAlignment w:val="auto"/>
        <w:rPr>
          <w:rFonts w:hint="eastAsia" w:ascii="Times New Roman" w:hAnsi="Times New Roman" w:eastAsia="仿宋_GB2312"/>
          <w:sz w:val="28"/>
          <w:szCs w:val="28"/>
          <w:lang w:eastAsia="zh-CN"/>
        </w:rPr>
      </w:pPr>
      <w:r>
        <w:rPr>
          <w:rFonts w:hint="eastAsia" w:ascii="仿宋" w:hAnsi="仿宋" w:eastAsia="仿宋" w:cs="仿宋"/>
          <w:sz w:val="28"/>
          <w:szCs w:val="28"/>
        </w:rPr>
        <w:t xml:space="preserve">    联系地址：</w:t>
      </w:r>
      <w:r>
        <w:rPr>
          <w:rFonts w:hint="eastAsia" w:ascii="仿宋" w:hAnsi="仿宋" w:eastAsia="仿宋" w:cs="仿宋"/>
          <w:sz w:val="28"/>
          <w:szCs w:val="28"/>
          <w:lang w:val="en-US" w:eastAsia="zh-CN"/>
        </w:rPr>
        <w:t>蜀山区黄山路599号时代数码港23层2307室</w:t>
      </w:r>
      <w:r>
        <w:rPr>
          <w:rFonts w:ascii="Times New Roman" w:hAnsi="仿宋_GB2312"/>
          <w:sz w:val="28"/>
          <w:szCs w:val="28"/>
        </w:rPr>
        <w:t>。</w:t>
      </w:r>
    </w:p>
    <w:p w14:paraId="45C8BCCF">
      <w:pPr>
        <w:keepNext w:val="0"/>
        <w:keepLines w:val="0"/>
        <w:pageBreakBefore w:val="0"/>
        <w:kinsoku/>
        <w:wordWrap/>
        <w:overflowPunct/>
        <w:topLinePunct w:val="0"/>
        <w:autoSpaceDE/>
        <w:autoSpaceDN/>
        <w:bidi w:val="0"/>
        <w:adjustRightInd/>
        <w:snapToGrid/>
        <w:spacing w:line="560" w:lineRule="exact"/>
        <w:ind w:left="0" w:leftChars="0" w:right="0"/>
        <w:contextualSpacing/>
        <w:jc w:val="right"/>
        <w:textAlignment w:val="auto"/>
        <w:rPr>
          <w:rFonts w:ascii="Times New Roman" w:hAnsi="Times New Roman"/>
          <w:sz w:val="28"/>
          <w:szCs w:val="28"/>
        </w:rPr>
      </w:pPr>
    </w:p>
    <w:p w14:paraId="31A99C9C">
      <w:pPr>
        <w:keepNext w:val="0"/>
        <w:keepLines w:val="0"/>
        <w:pageBreakBefore w:val="0"/>
        <w:kinsoku/>
        <w:wordWrap/>
        <w:overflowPunct/>
        <w:topLinePunct w:val="0"/>
        <w:autoSpaceDE/>
        <w:autoSpaceDN/>
        <w:bidi w:val="0"/>
        <w:adjustRightInd/>
        <w:snapToGrid/>
        <w:spacing w:line="560" w:lineRule="exact"/>
        <w:ind w:left="0" w:leftChars="0" w:right="0"/>
        <w:contextualSpacing/>
        <w:jc w:val="right"/>
        <w:textAlignment w:val="auto"/>
        <w:rPr>
          <w:rFonts w:ascii="Times New Roman" w:hAnsi="Times New Roman"/>
          <w:sz w:val="28"/>
          <w:szCs w:val="28"/>
        </w:rPr>
      </w:pPr>
    </w:p>
    <w:p w14:paraId="2A02B627">
      <w:pPr>
        <w:keepNext w:val="0"/>
        <w:keepLines w:val="0"/>
        <w:pageBreakBefore w:val="0"/>
        <w:kinsoku/>
        <w:wordWrap/>
        <w:overflowPunct/>
        <w:topLinePunct w:val="0"/>
        <w:autoSpaceDE/>
        <w:autoSpaceDN/>
        <w:bidi w:val="0"/>
        <w:adjustRightInd/>
        <w:snapToGrid/>
        <w:spacing w:line="560" w:lineRule="exact"/>
        <w:ind w:left="0" w:leftChars="0" w:right="0"/>
        <w:contextualSpacing/>
        <w:jc w:val="right"/>
        <w:textAlignment w:val="auto"/>
        <w:rPr>
          <w:rFonts w:hint="eastAsia" w:ascii="仿宋" w:hAnsi="仿宋" w:eastAsia="仿宋" w:cs="仿宋"/>
          <w:sz w:val="28"/>
          <w:szCs w:val="28"/>
        </w:rPr>
      </w:pPr>
      <w:r>
        <w:rPr>
          <w:rFonts w:hint="eastAsia" w:ascii="仿宋" w:hAnsi="仿宋" w:eastAsia="仿宋" w:cs="仿宋"/>
          <w:sz w:val="28"/>
          <w:szCs w:val="28"/>
        </w:rPr>
        <w:t>安徽</w:t>
      </w:r>
      <w:r>
        <w:rPr>
          <w:rFonts w:hint="eastAsia" w:ascii="仿宋" w:hAnsi="仿宋" w:eastAsia="仿宋" w:cs="仿宋"/>
          <w:sz w:val="28"/>
          <w:szCs w:val="28"/>
          <w:lang w:val="en-US" w:eastAsia="zh-CN"/>
        </w:rPr>
        <w:t>文化旅游投资集团</w:t>
      </w:r>
      <w:r>
        <w:rPr>
          <w:rFonts w:hint="eastAsia" w:ascii="仿宋" w:hAnsi="仿宋" w:eastAsia="仿宋" w:cs="仿宋"/>
          <w:sz w:val="28"/>
          <w:szCs w:val="28"/>
        </w:rPr>
        <w:t>有限责任公司</w:t>
      </w:r>
    </w:p>
    <w:p w14:paraId="42F614AF">
      <w:pPr>
        <w:keepNext w:val="0"/>
        <w:keepLines w:val="0"/>
        <w:pageBreakBefore w:val="0"/>
        <w:kinsoku/>
        <w:wordWrap/>
        <w:overflowPunct/>
        <w:topLinePunct w:val="0"/>
        <w:autoSpaceDE/>
        <w:autoSpaceDN/>
        <w:bidi w:val="0"/>
        <w:adjustRightInd/>
        <w:snapToGrid/>
        <w:spacing w:line="560" w:lineRule="exact"/>
        <w:ind w:left="0" w:leftChars="0" w:right="0"/>
        <w:contextualSpacing/>
        <w:jc w:val="right"/>
        <w:textAlignment w:val="auto"/>
        <w:rPr>
          <w:rFonts w:ascii="Times New Roman" w:hAnsi="仿宋_GB2312"/>
          <w:sz w:val="28"/>
          <w:szCs w:val="28"/>
        </w:rPr>
      </w:pPr>
      <w:r>
        <w:rPr>
          <w:rFonts w:hint="eastAsia" w:ascii="Times New Roman" w:hAnsi="Times New Roman"/>
          <w:sz w:val="28"/>
          <w:szCs w:val="28"/>
          <w:lang w:val="en-US" w:eastAsia="zh-CN"/>
        </w:rPr>
        <w:t>2025</w:t>
      </w:r>
      <w:r>
        <w:rPr>
          <w:rFonts w:ascii="Times New Roman" w:hAnsi="仿宋_GB2312"/>
          <w:sz w:val="28"/>
          <w:szCs w:val="28"/>
        </w:rPr>
        <w:t>年</w:t>
      </w:r>
      <w:r>
        <w:rPr>
          <w:rFonts w:hint="eastAsia" w:ascii="Times New Roman" w:hAnsi="Times New Roman"/>
          <w:sz w:val="28"/>
          <w:szCs w:val="28"/>
          <w:lang w:val="en-US" w:eastAsia="zh-CN"/>
        </w:rPr>
        <w:t>4</w:t>
      </w:r>
      <w:r>
        <w:rPr>
          <w:rFonts w:ascii="Times New Roman" w:hAnsi="仿宋_GB2312"/>
          <w:sz w:val="28"/>
          <w:szCs w:val="28"/>
        </w:rPr>
        <w:t>月</w:t>
      </w:r>
      <w:r>
        <w:rPr>
          <w:rFonts w:hint="eastAsia" w:ascii="Times New Roman" w:hAnsi="Times New Roman"/>
          <w:sz w:val="28"/>
          <w:szCs w:val="28"/>
          <w:lang w:val="en-US" w:eastAsia="zh-CN"/>
        </w:rPr>
        <w:t>8</w:t>
      </w:r>
      <w:r>
        <w:rPr>
          <w:rFonts w:ascii="Times New Roman" w:hAnsi="仿宋_GB2312"/>
          <w:sz w:val="28"/>
          <w:szCs w:val="28"/>
        </w:rPr>
        <w:t>日</w:t>
      </w:r>
    </w:p>
    <w:bookmarkEnd w:id="4"/>
    <w:bookmarkEnd w:id="6"/>
    <w:p w14:paraId="658430C7">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6"/>
          <w:szCs w:val="36"/>
        </w:rPr>
      </w:pPr>
      <w:r>
        <w:br w:type="page"/>
      </w:r>
      <w:bookmarkStart w:id="24" w:name="_Toc12419"/>
      <w:r>
        <w:rPr>
          <w:rFonts w:hint="eastAsia" w:ascii="黑体" w:hAnsi="黑体" w:eastAsia="黑体" w:cs="黑体"/>
          <w:b w:val="0"/>
          <w:bCs w:val="0"/>
          <w:sz w:val="36"/>
          <w:szCs w:val="36"/>
        </w:rPr>
        <w:t xml:space="preserve">第二章  </w:t>
      </w:r>
      <w:bookmarkEnd w:id="24"/>
      <w:bookmarkStart w:id="25" w:name="_Toc12545"/>
      <w:r>
        <w:rPr>
          <w:rFonts w:hint="eastAsia" w:ascii="黑体" w:hAnsi="黑体" w:eastAsia="黑体" w:cs="黑体"/>
          <w:b w:val="0"/>
          <w:bCs w:val="0"/>
          <w:sz w:val="36"/>
          <w:szCs w:val="36"/>
        </w:rPr>
        <w:t>发包人声明</w:t>
      </w:r>
      <w:bookmarkEnd w:id="25"/>
    </w:p>
    <w:p w14:paraId="1E0321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仿宋_GB2312" w:cs="仿宋_GB2312"/>
          <w:sz w:val="28"/>
          <w:szCs w:val="28"/>
        </w:rPr>
      </w:pPr>
    </w:p>
    <w:p w14:paraId="4AF9ED0B">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发包人郑重声明：</w:t>
      </w:r>
    </w:p>
    <w:p w14:paraId="3402B724">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1、所报价格为</w:t>
      </w:r>
      <w:r>
        <w:rPr>
          <w:rFonts w:hint="eastAsia" w:ascii="仿宋" w:hAnsi="仿宋" w:eastAsia="仿宋" w:cs="仿宋"/>
          <w:sz w:val="28"/>
          <w:szCs w:val="28"/>
          <w:lang w:val="en-US" w:eastAsia="zh-CN"/>
        </w:rPr>
        <w:t>本项目</w:t>
      </w:r>
      <w:r>
        <w:rPr>
          <w:rFonts w:hint="eastAsia" w:ascii="仿宋" w:hAnsi="仿宋" w:eastAsia="仿宋" w:cs="仿宋"/>
          <w:sz w:val="28"/>
          <w:szCs w:val="28"/>
          <w:lang w:eastAsia="zh-CN"/>
        </w:rPr>
        <w:t>法律服务</w:t>
      </w:r>
      <w:r>
        <w:rPr>
          <w:rFonts w:hint="eastAsia" w:ascii="仿宋" w:hAnsi="仿宋" w:eastAsia="仿宋" w:cs="仿宋"/>
          <w:sz w:val="28"/>
          <w:szCs w:val="28"/>
          <w:lang w:val="en-US" w:eastAsia="zh-CN"/>
        </w:rPr>
        <w:t>全部</w:t>
      </w:r>
      <w:r>
        <w:rPr>
          <w:rFonts w:hint="eastAsia" w:ascii="仿宋" w:hAnsi="仿宋" w:eastAsia="仿宋" w:cs="仿宋"/>
          <w:sz w:val="28"/>
          <w:szCs w:val="28"/>
        </w:rPr>
        <w:t>费</w:t>
      </w:r>
      <w:r>
        <w:rPr>
          <w:rFonts w:hint="eastAsia" w:ascii="仿宋" w:hAnsi="仿宋" w:eastAsia="仿宋" w:cs="仿宋"/>
          <w:sz w:val="28"/>
          <w:szCs w:val="28"/>
          <w:lang w:val="en-US" w:eastAsia="zh-CN"/>
        </w:rPr>
        <w:t>用</w:t>
      </w:r>
      <w:r>
        <w:rPr>
          <w:rFonts w:hint="eastAsia" w:ascii="仿宋" w:hAnsi="仿宋" w:eastAsia="仿宋" w:cs="仿宋"/>
          <w:sz w:val="28"/>
          <w:szCs w:val="28"/>
        </w:rPr>
        <w:t>（含税）。包括住宿、交通、餐饮等费用</w:t>
      </w:r>
      <w:r>
        <w:rPr>
          <w:rFonts w:hint="eastAsia" w:ascii="仿宋" w:hAnsi="仿宋" w:eastAsia="仿宋" w:cs="仿宋"/>
          <w:sz w:val="28"/>
          <w:szCs w:val="28"/>
          <w:lang w:eastAsia="zh-CN"/>
        </w:rPr>
        <w:t>，</w:t>
      </w:r>
      <w:bookmarkStart w:id="26" w:name="OLE_LINK33"/>
      <w:r>
        <w:rPr>
          <w:rFonts w:hint="eastAsia" w:ascii="仿宋" w:hAnsi="仿宋" w:eastAsia="仿宋" w:cs="仿宋"/>
          <w:sz w:val="28"/>
          <w:szCs w:val="28"/>
          <w:lang w:val="en-US" w:eastAsia="zh-CN"/>
        </w:rPr>
        <w:t>除此之外，发包人不用支付其他任何费用</w:t>
      </w:r>
      <w:r>
        <w:rPr>
          <w:rFonts w:hint="eastAsia" w:ascii="仿宋" w:hAnsi="仿宋" w:eastAsia="仿宋" w:cs="仿宋"/>
          <w:sz w:val="28"/>
          <w:szCs w:val="28"/>
          <w:lang w:eastAsia="zh-CN"/>
        </w:rPr>
        <w:t>。</w:t>
      </w:r>
      <w:bookmarkEnd w:id="26"/>
    </w:p>
    <w:p w14:paraId="470EA5BE">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2、参比单位未按本询比文件规定所投标书无效。无论中标与否，各参比单位投标资料恕不退回，由我司存档，我司将对参比单位资料予以保密。</w:t>
      </w:r>
    </w:p>
    <w:p w14:paraId="6334DE48">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4、全部响应文件应</w:t>
      </w:r>
      <w:r>
        <w:rPr>
          <w:rFonts w:hint="eastAsia" w:ascii="仿宋" w:hAnsi="仿宋" w:eastAsia="仿宋" w:cs="仿宋"/>
          <w:b/>
          <w:sz w:val="28"/>
          <w:szCs w:val="28"/>
        </w:rPr>
        <w:t>制作目录，装订成册，一式</w:t>
      </w:r>
      <w:r>
        <w:rPr>
          <w:rFonts w:hint="eastAsia" w:ascii="仿宋" w:hAnsi="仿宋" w:eastAsia="仿宋" w:cs="仿宋"/>
          <w:b/>
          <w:sz w:val="28"/>
          <w:szCs w:val="28"/>
          <w:lang w:val="en-US" w:eastAsia="zh-CN"/>
        </w:rPr>
        <w:t>一</w:t>
      </w:r>
      <w:r>
        <w:rPr>
          <w:rFonts w:hint="eastAsia" w:ascii="仿宋" w:hAnsi="仿宋" w:eastAsia="仿宋" w:cs="仿宋"/>
          <w:b/>
          <w:sz w:val="28"/>
          <w:szCs w:val="28"/>
        </w:rPr>
        <w:t>份</w:t>
      </w:r>
      <w:r>
        <w:rPr>
          <w:rFonts w:hint="eastAsia" w:ascii="仿宋" w:hAnsi="仿宋" w:eastAsia="仿宋" w:cs="仿宋"/>
          <w:sz w:val="28"/>
          <w:szCs w:val="28"/>
        </w:rPr>
        <w:t>，响应文件应由参比单位的法定代表人或授权代理人正式签署。</w:t>
      </w:r>
    </w:p>
    <w:p w14:paraId="245DD93F">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5、所有响应文件必须装入密封的信封或包装，在信封或包装上骑缝加盖公章，并填写响应文件资料清单。</w:t>
      </w:r>
    </w:p>
    <w:p w14:paraId="3976157C">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响应文件信封的封面上写明：</w:t>
      </w:r>
    </w:p>
    <w:p w14:paraId="049F1674">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(1)询比项目名称</w:t>
      </w:r>
    </w:p>
    <w:p w14:paraId="544F5C1B">
      <w:pPr>
        <w:pStyle w:val="1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rPr>
        <w:t>(2)参比单位</w:t>
      </w:r>
    </w:p>
    <w:p w14:paraId="6C2B4DF6">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sz w:val="28"/>
          <w:szCs w:val="21"/>
        </w:rPr>
      </w:pPr>
    </w:p>
    <w:p w14:paraId="0A40E4BD">
      <w:pPr>
        <w:widowControl/>
        <w:jc w:val="left"/>
        <w:rPr>
          <w:rFonts w:ascii="方正小标宋_GBK" w:hAnsi="方正小标宋_GBK" w:eastAsia="方正小标宋_GBK" w:cs="方正小标宋_GBK"/>
          <w:kern w:val="44"/>
          <w:szCs w:val="32"/>
        </w:rPr>
      </w:pPr>
      <w:r>
        <w:rPr>
          <w:rFonts w:ascii="方正小标宋_GBK" w:hAnsi="方正小标宋_GBK" w:eastAsia="方正小标宋_GBK" w:cs="方正小标宋_GBK"/>
          <w:kern w:val="44"/>
          <w:szCs w:val="32"/>
        </w:rPr>
        <w:br w:type="page"/>
      </w:r>
    </w:p>
    <w:p w14:paraId="4F8BAF17">
      <w:pPr>
        <w:pStyle w:val="2"/>
        <w:keepNext w:val="0"/>
        <w:keepLines w:val="0"/>
        <w:spacing w:line="520" w:lineRule="exact"/>
        <w:jc w:val="center"/>
        <w:rPr>
          <w:rFonts w:ascii="黑体" w:hAnsi="黑体" w:eastAsia="黑体" w:cs="方正小标宋_GBK"/>
          <w:b w:val="0"/>
          <w:bCs w:val="0"/>
          <w:sz w:val="36"/>
          <w:szCs w:val="36"/>
        </w:rPr>
      </w:pPr>
      <w:bookmarkStart w:id="27" w:name="_Toc20967"/>
      <w:r>
        <w:rPr>
          <w:rFonts w:hint="eastAsia" w:ascii="黑体" w:hAnsi="黑体" w:eastAsia="黑体" w:cs="方正小标宋_GBK"/>
          <w:b w:val="0"/>
          <w:bCs w:val="0"/>
          <w:sz w:val="36"/>
          <w:szCs w:val="36"/>
        </w:rPr>
        <w:t>第三章  评审办法</w:t>
      </w:r>
      <w:bookmarkEnd w:id="27"/>
    </w:p>
    <w:p w14:paraId="33D74C1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1"/>
        </w:rPr>
      </w:pPr>
      <w:bookmarkStart w:id="28" w:name="bookmark74"/>
      <w:r>
        <w:rPr>
          <w:rFonts w:hint="eastAsia" w:ascii="仿宋_GB2312" w:hAnsi="仿宋_GB2312" w:eastAsia="仿宋_GB2312" w:cs="仿宋_GB2312"/>
          <w:b/>
          <w:bCs/>
          <w:sz w:val="28"/>
          <w:szCs w:val="21"/>
        </w:rPr>
        <w:t>一</w:t>
      </w:r>
      <w:bookmarkEnd w:id="28"/>
      <w:r>
        <w:rPr>
          <w:rFonts w:hint="eastAsia" w:ascii="仿宋_GB2312" w:hAnsi="仿宋_GB2312" w:eastAsia="仿宋_GB2312" w:cs="仿宋_GB2312"/>
          <w:b/>
          <w:bCs/>
          <w:sz w:val="28"/>
          <w:szCs w:val="21"/>
        </w:rPr>
        <w:t>、总则</w:t>
      </w:r>
    </w:p>
    <w:p w14:paraId="2B0BE9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rPr>
      </w:pPr>
      <w:bookmarkStart w:id="29" w:name="bookmark75"/>
      <w:r>
        <w:rPr>
          <w:rFonts w:hint="eastAsia" w:ascii="仿宋_GB2312" w:hAnsi="仿宋_GB2312" w:eastAsia="仿宋_GB2312" w:cs="仿宋_GB2312"/>
          <w:sz w:val="28"/>
          <w:szCs w:val="21"/>
        </w:rPr>
        <w:t>（</w:t>
      </w:r>
      <w:bookmarkEnd w:id="29"/>
      <w:r>
        <w:rPr>
          <w:rFonts w:hint="eastAsia" w:ascii="仿宋_GB2312" w:hAnsi="仿宋_GB2312" w:eastAsia="仿宋_GB2312" w:cs="仿宋_GB2312"/>
          <w:sz w:val="28"/>
          <w:szCs w:val="21"/>
        </w:rPr>
        <w:t>一）为了做好本项目的评标工作，保证项目评审工作的正常有序进行</w:t>
      </w:r>
      <w:r>
        <w:rPr>
          <w:rFonts w:hint="eastAsia" w:ascii="仿宋_GB2312" w:hAnsi="仿宋_GB2312" w:eastAsia="仿宋_GB2312" w:cs="仿宋_GB2312"/>
          <w:sz w:val="28"/>
          <w:szCs w:val="21"/>
          <w:lang w:eastAsia="zh-CN"/>
        </w:rPr>
        <w:t>，</w:t>
      </w:r>
      <w:r>
        <w:rPr>
          <w:rFonts w:hint="eastAsia" w:ascii="仿宋_GB2312" w:hAnsi="仿宋_GB2312" w:eastAsia="仿宋_GB2312" w:cs="仿宋_GB2312"/>
          <w:sz w:val="28"/>
          <w:szCs w:val="21"/>
        </w:rPr>
        <w:t>维护招采购人、投标人的合法权益，本着公开、公平、公正的原则，制定评标办法。</w:t>
      </w:r>
    </w:p>
    <w:p w14:paraId="36EFA0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rPr>
      </w:pPr>
      <w:bookmarkStart w:id="30" w:name="bookmark76"/>
      <w:r>
        <w:rPr>
          <w:rFonts w:hint="eastAsia" w:ascii="仿宋_GB2312" w:hAnsi="仿宋_GB2312" w:eastAsia="仿宋_GB2312" w:cs="仿宋_GB2312"/>
          <w:sz w:val="28"/>
          <w:szCs w:val="21"/>
        </w:rPr>
        <w:t>（</w:t>
      </w:r>
      <w:bookmarkEnd w:id="30"/>
      <w:r>
        <w:rPr>
          <w:rFonts w:hint="eastAsia" w:ascii="仿宋_GB2312" w:hAnsi="仿宋_GB2312" w:eastAsia="仿宋_GB2312" w:cs="仿宋_GB2312"/>
          <w:sz w:val="28"/>
          <w:szCs w:val="21"/>
        </w:rPr>
        <w:t>二）本次项目评标采用综合评分法作为对投标人标书的比较方法。</w:t>
      </w:r>
    </w:p>
    <w:p w14:paraId="3FB1644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rPr>
      </w:pPr>
      <w:bookmarkStart w:id="31" w:name="bookmark77"/>
      <w:r>
        <w:rPr>
          <w:rFonts w:hint="eastAsia" w:ascii="仿宋_GB2312" w:hAnsi="仿宋_GB2312" w:eastAsia="仿宋_GB2312" w:cs="仿宋_GB2312"/>
          <w:sz w:val="28"/>
          <w:szCs w:val="21"/>
        </w:rPr>
        <w:t>（</w:t>
      </w:r>
      <w:bookmarkEnd w:id="31"/>
      <w:r>
        <w:rPr>
          <w:rFonts w:hint="eastAsia" w:ascii="仿宋_GB2312" w:hAnsi="仿宋_GB2312" w:eastAsia="仿宋_GB2312" w:cs="仿宋_GB2312"/>
          <w:sz w:val="28"/>
          <w:szCs w:val="21"/>
        </w:rPr>
        <w:t>三）评标委员会依据招标文件中的标准、办法对投标文件进行评标, 评标委员会推荐1名中标候选人。</w:t>
      </w:r>
    </w:p>
    <w:p w14:paraId="6794F9C4">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1"/>
        </w:rPr>
      </w:pPr>
      <w:bookmarkStart w:id="32" w:name="bookmark78"/>
      <w:r>
        <w:rPr>
          <w:rFonts w:hint="eastAsia" w:ascii="仿宋_GB2312" w:hAnsi="仿宋_GB2312" w:eastAsia="仿宋_GB2312" w:cs="仿宋_GB2312"/>
          <w:b/>
          <w:bCs/>
          <w:sz w:val="28"/>
          <w:szCs w:val="21"/>
        </w:rPr>
        <w:t>二</w:t>
      </w:r>
      <w:bookmarkEnd w:id="32"/>
      <w:r>
        <w:rPr>
          <w:rFonts w:hint="eastAsia" w:ascii="仿宋_GB2312" w:hAnsi="仿宋_GB2312" w:eastAsia="仿宋_GB2312" w:cs="仿宋_GB2312"/>
          <w:b/>
          <w:bCs/>
          <w:sz w:val="28"/>
          <w:szCs w:val="21"/>
        </w:rPr>
        <w:t>、评标标准及说明</w:t>
      </w:r>
    </w:p>
    <w:p w14:paraId="673AF17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评标委员会分别对投标人的投标文件进行资格审查、符合性审查和详细评审，资格审查与符合性审查不通过的不再进入下一环节</w:t>
      </w:r>
      <w:r>
        <w:rPr>
          <w:rFonts w:hint="eastAsia" w:ascii="仿宋_GB2312" w:hAnsi="仿宋_GB2312" w:eastAsia="仿宋_GB2312" w:cs="仿宋_GB2312"/>
          <w:sz w:val="28"/>
          <w:szCs w:val="21"/>
          <w:lang w:val="zh-CN" w:eastAsia="zh-CN"/>
        </w:rPr>
        <w:t>“详</w:t>
      </w:r>
      <w:r>
        <w:rPr>
          <w:rFonts w:hint="eastAsia" w:ascii="仿宋_GB2312" w:hAnsi="仿宋_GB2312" w:eastAsia="仿宋_GB2312" w:cs="仿宋_GB2312"/>
          <w:sz w:val="28"/>
          <w:szCs w:val="21"/>
        </w:rPr>
        <w:t>细评审”。</w:t>
      </w:r>
    </w:p>
    <w:p w14:paraId="1E820D6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1"/>
        </w:rPr>
      </w:pPr>
      <w:bookmarkStart w:id="33" w:name="bookmark79"/>
      <w:r>
        <w:rPr>
          <w:rFonts w:hint="eastAsia" w:ascii="仿宋_GB2312" w:hAnsi="仿宋_GB2312" w:eastAsia="仿宋_GB2312" w:cs="仿宋_GB2312"/>
          <w:b/>
          <w:bCs/>
          <w:sz w:val="28"/>
          <w:szCs w:val="21"/>
        </w:rPr>
        <w:t>三</w:t>
      </w:r>
      <w:bookmarkEnd w:id="33"/>
      <w:r>
        <w:rPr>
          <w:rFonts w:hint="eastAsia" w:ascii="仿宋_GB2312" w:hAnsi="仿宋_GB2312" w:eastAsia="仿宋_GB2312" w:cs="仿宋_GB2312"/>
          <w:b/>
          <w:bCs/>
          <w:sz w:val="28"/>
          <w:szCs w:val="21"/>
        </w:rPr>
        <w:t>、评标程序</w:t>
      </w:r>
    </w:p>
    <w:p w14:paraId="2E32B1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rPr>
      </w:pPr>
      <w:bookmarkStart w:id="34" w:name="bookmark80"/>
      <w:r>
        <w:rPr>
          <w:rFonts w:hint="eastAsia" w:ascii="仿宋_GB2312" w:hAnsi="仿宋_GB2312" w:eastAsia="仿宋_GB2312" w:cs="仿宋_GB2312"/>
          <w:sz w:val="28"/>
          <w:szCs w:val="21"/>
        </w:rPr>
        <w:t>（</w:t>
      </w:r>
      <w:bookmarkEnd w:id="34"/>
      <w:r>
        <w:rPr>
          <w:rFonts w:hint="eastAsia" w:ascii="仿宋_GB2312" w:hAnsi="仿宋_GB2312" w:eastAsia="仿宋_GB2312" w:cs="仿宋_GB2312"/>
          <w:sz w:val="28"/>
          <w:szCs w:val="21"/>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w:t>
      </w:r>
      <w:r>
        <w:rPr>
          <w:rFonts w:hint="eastAsia" w:ascii="仿宋_GB2312" w:hAnsi="仿宋_GB2312" w:eastAsia="仿宋_GB2312" w:cs="仿宋_GB2312"/>
          <w:sz w:val="28"/>
          <w:szCs w:val="21"/>
          <w:lang w:eastAsia="zh-CN"/>
        </w:rPr>
        <w:t>，</w:t>
      </w:r>
      <w:r>
        <w:rPr>
          <w:rFonts w:hint="eastAsia" w:ascii="仿宋_GB2312" w:hAnsi="仿宋_GB2312" w:eastAsia="仿宋_GB2312" w:cs="仿宋_GB2312"/>
          <w:sz w:val="28"/>
          <w:szCs w:val="21"/>
        </w:rPr>
        <w:t>并予以书面记录。最终对投标人投标文件的初审结论分为通过和未通过。</w:t>
      </w:r>
    </w:p>
    <w:p w14:paraId="024C2D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1"/>
          <w:lang w:eastAsia="zh-CN"/>
        </w:rPr>
      </w:pPr>
      <w:bookmarkStart w:id="35" w:name="bookmark81"/>
      <w:r>
        <w:rPr>
          <w:rFonts w:hint="eastAsia" w:ascii="仿宋_GB2312" w:hAnsi="仿宋_GB2312" w:eastAsia="仿宋_GB2312" w:cs="仿宋_GB2312"/>
          <w:sz w:val="28"/>
          <w:szCs w:val="21"/>
        </w:rPr>
        <w:t>（</w:t>
      </w:r>
      <w:bookmarkEnd w:id="35"/>
      <w:r>
        <w:rPr>
          <w:rFonts w:hint="eastAsia" w:ascii="仿宋_GB2312" w:hAnsi="仿宋_GB2312" w:eastAsia="仿宋_GB2312" w:cs="仿宋_GB2312"/>
          <w:sz w:val="28"/>
          <w:szCs w:val="21"/>
        </w:rPr>
        <w:t>二）评委独立评审后，评委会对投标人某项指标如有不同意见，按照少数服从多数的原则，确定该项指标是否通过。符合初审指标通过标准的，为有效投标。评委会按下表内容进行投标文件初审。</w:t>
      </w:r>
    </w:p>
    <w:p w14:paraId="746918DC">
      <w:pPr>
        <w:pStyle w:val="25"/>
        <w:spacing w:line="492" w:lineRule="exact"/>
        <w:ind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投标文件初审表（资格审查和符合性审查）</w:t>
      </w:r>
    </w:p>
    <w:tbl>
      <w:tblPr>
        <w:tblStyle w:val="14"/>
        <w:tblW w:w="9598" w:type="dxa"/>
        <w:jc w:val="center"/>
        <w:tblLayout w:type="fixed"/>
        <w:tblCellMar>
          <w:top w:w="0" w:type="dxa"/>
          <w:left w:w="10" w:type="dxa"/>
          <w:bottom w:w="0" w:type="dxa"/>
          <w:right w:w="10" w:type="dxa"/>
        </w:tblCellMar>
      </w:tblPr>
      <w:tblGrid>
        <w:gridCol w:w="616"/>
        <w:gridCol w:w="6383"/>
        <w:gridCol w:w="2591"/>
        <w:gridCol w:w="8"/>
      </w:tblGrid>
      <w:tr w14:paraId="56E18786">
        <w:tblPrEx>
          <w:tblCellMar>
            <w:top w:w="0" w:type="dxa"/>
            <w:left w:w="10" w:type="dxa"/>
            <w:bottom w:w="0" w:type="dxa"/>
            <w:right w:w="10" w:type="dxa"/>
          </w:tblCellMar>
        </w:tblPrEx>
        <w:trPr>
          <w:gridAfter w:val="1"/>
          <w:wAfter w:w="8" w:type="dxa"/>
          <w:trHeight w:val="583" w:hRule="exact"/>
          <w:jc w:val="center"/>
        </w:trPr>
        <w:tc>
          <w:tcPr>
            <w:tcW w:w="9590" w:type="dxa"/>
            <w:gridSpan w:val="3"/>
            <w:tcBorders>
              <w:top w:val="single" w:color="auto" w:sz="4" w:space="0"/>
              <w:left w:val="single" w:color="auto" w:sz="4" w:space="0"/>
              <w:right w:val="single" w:color="auto" w:sz="4" w:space="0"/>
            </w:tcBorders>
            <w:shd w:val="clear" w:color="auto" w:fill="FFFFFF"/>
            <w:vAlign w:val="center"/>
          </w:tcPr>
          <w:p w14:paraId="115DD6D5">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1、资格审查指标</w:t>
            </w:r>
          </w:p>
        </w:tc>
      </w:tr>
      <w:tr w14:paraId="5995EDE5">
        <w:tblPrEx>
          <w:tblCellMar>
            <w:top w:w="0" w:type="dxa"/>
            <w:left w:w="10" w:type="dxa"/>
            <w:bottom w:w="0" w:type="dxa"/>
            <w:right w:w="10" w:type="dxa"/>
          </w:tblCellMar>
        </w:tblPrEx>
        <w:trPr>
          <w:gridAfter w:val="1"/>
          <w:wAfter w:w="8" w:type="dxa"/>
          <w:trHeight w:val="576" w:hRule="exact"/>
          <w:jc w:val="center"/>
        </w:trPr>
        <w:tc>
          <w:tcPr>
            <w:tcW w:w="616" w:type="dxa"/>
            <w:tcBorders>
              <w:top w:val="single" w:color="auto" w:sz="4" w:space="0"/>
              <w:left w:val="single" w:color="auto" w:sz="4" w:space="0"/>
            </w:tcBorders>
            <w:shd w:val="clear" w:color="auto" w:fill="FFFFFF"/>
            <w:vAlign w:val="center"/>
          </w:tcPr>
          <w:p w14:paraId="26F30F88">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6383" w:type="dxa"/>
            <w:tcBorders>
              <w:top w:val="single" w:color="auto" w:sz="4" w:space="0"/>
              <w:left w:val="single" w:color="auto" w:sz="4" w:space="0"/>
            </w:tcBorders>
            <w:shd w:val="clear" w:color="auto" w:fill="FFFFFF"/>
            <w:vAlign w:val="center"/>
          </w:tcPr>
          <w:p w14:paraId="6095E71E">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审查内容</w:t>
            </w:r>
          </w:p>
        </w:tc>
        <w:tc>
          <w:tcPr>
            <w:tcW w:w="2591" w:type="dxa"/>
            <w:tcBorders>
              <w:top w:val="single" w:color="auto" w:sz="4" w:space="0"/>
              <w:left w:val="single" w:color="auto" w:sz="4" w:space="0"/>
              <w:right w:val="single" w:color="auto" w:sz="4" w:space="0"/>
            </w:tcBorders>
            <w:shd w:val="clear" w:color="auto" w:fill="FFFFFF"/>
            <w:vAlign w:val="center"/>
          </w:tcPr>
          <w:p w14:paraId="6DC497E6">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要求提供的证明材料</w:t>
            </w:r>
          </w:p>
        </w:tc>
      </w:tr>
      <w:tr w14:paraId="682B5864">
        <w:tblPrEx>
          <w:tblCellMar>
            <w:top w:w="0" w:type="dxa"/>
            <w:left w:w="10" w:type="dxa"/>
            <w:bottom w:w="0" w:type="dxa"/>
            <w:right w:w="10" w:type="dxa"/>
          </w:tblCellMar>
        </w:tblPrEx>
        <w:trPr>
          <w:gridAfter w:val="1"/>
          <w:wAfter w:w="8" w:type="dxa"/>
          <w:trHeight w:val="2014" w:hRule="exact"/>
          <w:jc w:val="center"/>
        </w:trPr>
        <w:tc>
          <w:tcPr>
            <w:tcW w:w="616" w:type="dxa"/>
            <w:tcBorders>
              <w:top w:val="single" w:color="auto" w:sz="4" w:space="0"/>
              <w:left w:val="single" w:color="auto" w:sz="4" w:space="0"/>
              <w:bottom w:val="single" w:color="auto" w:sz="4" w:space="0"/>
            </w:tcBorders>
            <w:shd w:val="clear" w:color="auto" w:fill="FFFFFF"/>
            <w:vAlign w:val="center"/>
          </w:tcPr>
          <w:p w14:paraId="6CC7B598">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6383" w:type="dxa"/>
            <w:tcBorders>
              <w:top w:val="single" w:color="auto" w:sz="4" w:space="0"/>
              <w:left w:val="single" w:color="auto" w:sz="4" w:space="0"/>
              <w:bottom w:val="single" w:color="auto" w:sz="4" w:space="0"/>
            </w:tcBorders>
            <w:shd w:val="clear" w:color="auto" w:fill="FFFFFF"/>
            <w:vAlign w:val="center"/>
          </w:tcPr>
          <w:p w14:paraId="019748E2">
            <w:pPr>
              <w:pStyle w:val="31"/>
              <w:keepNext w:val="0"/>
              <w:keepLines w:val="0"/>
              <w:pageBreakBefore w:val="0"/>
              <w:widowControl w:val="0"/>
              <w:kinsoku/>
              <w:wordWrap/>
              <w:overflowPunct/>
              <w:topLinePunct w:val="0"/>
              <w:autoSpaceDE/>
              <w:autoSpaceDN/>
              <w:bidi w:val="0"/>
              <w:adjustRightInd/>
              <w:snapToGrid/>
              <w:spacing w:line="240" w:lineRule="auto"/>
              <w:ind w:right="131" w:rightChars="41" w:firstLine="0"/>
              <w:jc w:val="both"/>
              <w:textAlignment w:val="auto"/>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val="en-US" w:eastAsia="zh-CN"/>
              </w:rPr>
              <w:t>律师事务所资格要求：</w:t>
            </w:r>
            <w:r>
              <w:rPr>
                <w:rFonts w:hint="default" w:ascii="Times New Roman" w:hAnsi="Times New Roman" w:eastAsia="仿宋" w:cs="Times New Roman"/>
                <w:sz w:val="24"/>
                <w:szCs w:val="24"/>
              </w:rPr>
              <w:t>入选安徽出版集团法律中介机构备选库（2023-2026）</w:t>
            </w:r>
            <w:r>
              <w:rPr>
                <w:rFonts w:hint="default" w:ascii="Times New Roman" w:hAnsi="Times New Roman" w:eastAsia="仿宋" w:cs="Times New Roman"/>
                <w:sz w:val="24"/>
                <w:szCs w:val="24"/>
                <w:lang w:val="en-US" w:eastAsia="zh-CN"/>
              </w:rPr>
              <w:t>及集团外聘法律服务中介机构备选库增补名单</w:t>
            </w:r>
            <w:r>
              <w:rPr>
                <w:rFonts w:hint="default" w:ascii="Times New Roman" w:hAnsi="Times New Roman" w:eastAsia="仿宋" w:cs="Times New Roman"/>
                <w:sz w:val="24"/>
                <w:szCs w:val="24"/>
              </w:rPr>
              <w:t>组别</w:t>
            </w:r>
            <w:r>
              <w:rPr>
                <w:rFonts w:hint="eastAsia" w:ascii="Times New Roman" w:hAnsi="Times New Roman" w:eastAsia="仿宋" w:cs="Times New Roman"/>
                <w:sz w:val="24"/>
                <w:szCs w:val="24"/>
                <w:lang w:val="en-US" w:eastAsia="zh-CN"/>
              </w:rPr>
              <w:t>一（公司/商事业务）或</w:t>
            </w:r>
            <w:r>
              <w:rPr>
                <w:rFonts w:hint="default" w:ascii="Times New Roman" w:hAnsi="Times New Roman" w:eastAsia="仿宋" w:cs="Times New Roman"/>
                <w:sz w:val="24"/>
                <w:szCs w:val="24"/>
              </w:rPr>
              <w:t>组别二（企业合规、劳动法及法律风险管控业务）</w:t>
            </w:r>
            <w:r>
              <w:rPr>
                <w:rFonts w:hint="eastAsia" w:ascii="Times New Roman" w:hAnsi="Times New Roman" w:eastAsia="仿宋" w:cs="Times New Roman"/>
                <w:sz w:val="24"/>
                <w:szCs w:val="24"/>
                <w:lang w:eastAsia="zh-CN"/>
              </w:rPr>
              <w:t>。</w:t>
            </w:r>
          </w:p>
        </w:tc>
        <w:tc>
          <w:tcPr>
            <w:tcW w:w="2591" w:type="dxa"/>
            <w:tcBorders>
              <w:top w:val="single" w:color="auto" w:sz="4" w:space="0"/>
              <w:left w:val="single" w:color="auto" w:sz="4" w:space="0"/>
              <w:bottom w:val="single" w:color="auto" w:sz="4" w:space="0"/>
              <w:right w:val="single" w:color="auto" w:sz="4" w:space="0"/>
            </w:tcBorders>
            <w:shd w:val="clear" w:color="auto" w:fill="FFFFFF"/>
            <w:vAlign w:val="center"/>
          </w:tcPr>
          <w:p w14:paraId="6C3423DC">
            <w:pPr>
              <w:pStyle w:val="31"/>
              <w:keepNext w:val="0"/>
              <w:keepLines w:val="0"/>
              <w:pageBreakBefore w:val="0"/>
              <w:widowControl w:val="0"/>
              <w:kinsoku/>
              <w:wordWrap/>
              <w:overflowPunct/>
              <w:topLinePunct w:val="0"/>
              <w:autoSpaceDE/>
              <w:autoSpaceDN/>
              <w:bidi w:val="0"/>
              <w:adjustRightInd/>
              <w:snapToGrid/>
              <w:spacing w:after="200" w:line="240" w:lineRule="auto"/>
              <w:ind w:right="96" w:rightChars="30" w:firstLine="0"/>
              <w:jc w:val="center"/>
              <w:textAlignment w:val="auto"/>
              <w:rPr>
                <w:rFonts w:hint="default" w:ascii="Times New Roman" w:hAnsi="Times New Roman" w:eastAsia="仿宋" w:cs="Times New Roman"/>
                <w:sz w:val="24"/>
                <w:szCs w:val="24"/>
                <w:lang w:val="en-US" w:eastAsia="zh-CN"/>
              </w:rPr>
            </w:pPr>
            <w:r>
              <w:rPr>
                <w:rFonts w:ascii="Times New Roman" w:hAnsi="Times New Roman" w:eastAsia="仿宋" w:cs="Times New Roman"/>
                <w:sz w:val="24"/>
                <w:szCs w:val="24"/>
              </w:rPr>
              <w:t>提供有效的律师事务所执业许可证原件扫描件或复印件并加盖公章</w:t>
            </w:r>
          </w:p>
        </w:tc>
      </w:tr>
      <w:tr w14:paraId="38B5D11A">
        <w:tblPrEx>
          <w:tblCellMar>
            <w:top w:w="0" w:type="dxa"/>
            <w:left w:w="10" w:type="dxa"/>
            <w:bottom w:w="0" w:type="dxa"/>
            <w:right w:w="10" w:type="dxa"/>
          </w:tblCellMar>
        </w:tblPrEx>
        <w:trPr>
          <w:trHeight w:val="1564" w:hRule="exact"/>
          <w:jc w:val="center"/>
        </w:trPr>
        <w:tc>
          <w:tcPr>
            <w:tcW w:w="616" w:type="dxa"/>
            <w:tcBorders>
              <w:top w:val="single" w:color="auto" w:sz="4" w:space="0"/>
              <w:left w:val="single" w:color="auto" w:sz="4" w:space="0"/>
            </w:tcBorders>
            <w:shd w:val="clear" w:color="auto" w:fill="FFFFFF"/>
            <w:vAlign w:val="center"/>
          </w:tcPr>
          <w:p w14:paraId="56EB1EE7">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6383" w:type="dxa"/>
            <w:tcBorders>
              <w:top w:val="single" w:color="auto" w:sz="4" w:space="0"/>
              <w:left w:val="single" w:color="auto" w:sz="4" w:space="0"/>
            </w:tcBorders>
            <w:shd w:val="clear" w:color="auto" w:fill="FFFFFF"/>
            <w:vAlign w:val="center"/>
          </w:tcPr>
          <w:p w14:paraId="3E4379C2">
            <w:pPr>
              <w:pStyle w:val="31"/>
              <w:keepNext w:val="0"/>
              <w:keepLines w:val="0"/>
              <w:pageBreakBefore w:val="0"/>
              <w:widowControl w:val="0"/>
              <w:kinsoku/>
              <w:wordWrap/>
              <w:overflowPunct/>
              <w:topLinePunct w:val="0"/>
              <w:autoSpaceDE/>
              <w:autoSpaceDN/>
              <w:bidi w:val="0"/>
              <w:adjustRightInd/>
              <w:snapToGrid/>
              <w:spacing w:line="240" w:lineRule="auto"/>
              <w:ind w:right="272" w:rightChars="85" w:firstLine="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截止采购公告发布之日，与采购人利益冲突人存在代理或其他业务关系的不得参加本项目投标。</w:t>
            </w:r>
          </w:p>
        </w:tc>
        <w:tc>
          <w:tcPr>
            <w:tcW w:w="2599" w:type="dxa"/>
            <w:gridSpan w:val="2"/>
            <w:tcBorders>
              <w:top w:val="single" w:color="auto" w:sz="4" w:space="0"/>
              <w:left w:val="single" w:color="auto" w:sz="4" w:space="0"/>
              <w:right w:val="single" w:color="auto" w:sz="4" w:space="0"/>
            </w:tcBorders>
            <w:shd w:val="clear" w:color="auto" w:fill="FFFFFF"/>
            <w:vAlign w:val="center"/>
          </w:tcPr>
          <w:p w14:paraId="20431372">
            <w:pPr>
              <w:pStyle w:val="5"/>
              <w:keepNext w:val="0"/>
              <w:keepLines w:val="0"/>
              <w:pageBreakBefore w:val="0"/>
              <w:widowControl w:val="0"/>
              <w:kinsoku/>
              <w:wordWrap/>
              <w:overflowPunct/>
              <w:topLinePunct w:val="0"/>
              <w:autoSpaceDE/>
              <w:autoSpaceDN/>
              <w:bidi w:val="0"/>
              <w:adjustRightInd/>
              <w:snapToGrid/>
              <w:spacing w:after="0"/>
              <w:ind w:right="96" w:rightChars="30"/>
              <w:jc w:val="center"/>
              <w:textAlignment w:val="auto"/>
              <w:outlineLvl w:val="0"/>
              <w:rPr>
                <w:rFonts w:hint="default" w:ascii="Times New Roman" w:hAnsi="Times New Roman" w:eastAsia="仿宋" w:cs="Times New Roman"/>
                <w:kern w:val="0"/>
                <w:sz w:val="24"/>
                <w:szCs w:val="24"/>
                <w:lang w:val="zh-TW" w:bidi="zh-TW"/>
              </w:rPr>
            </w:pPr>
            <w:r>
              <w:rPr>
                <w:rFonts w:hint="default" w:ascii="Times New Roman" w:hAnsi="Times New Roman" w:eastAsia="仿宋" w:cs="Times New Roman"/>
                <w:kern w:val="0"/>
                <w:sz w:val="24"/>
                <w:szCs w:val="24"/>
                <w:lang w:val="zh-TW" w:eastAsia="zh-TW" w:bidi="zh-TW"/>
              </w:rPr>
              <w:t>提供承诺，加盖公章，格式详见响应文件：</w:t>
            </w:r>
            <w:r>
              <w:rPr>
                <w:rFonts w:hint="default" w:ascii="Times New Roman" w:hAnsi="Times New Roman" w:eastAsia="仿宋" w:cs="Times New Roman"/>
                <w:kern w:val="0"/>
                <w:sz w:val="24"/>
                <w:szCs w:val="24"/>
                <w:lang w:val="zh-TW" w:bidi="zh-TW"/>
              </w:rPr>
              <w:t>二</w:t>
            </w:r>
            <w:r>
              <w:rPr>
                <w:rFonts w:hint="default" w:ascii="Times New Roman" w:hAnsi="Times New Roman" w:eastAsia="仿宋" w:cs="Times New Roman"/>
                <w:kern w:val="0"/>
                <w:sz w:val="24"/>
                <w:szCs w:val="24"/>
                <w:lang w:val="zh-TW" w:eastAsia="zh-TW" w:bidi="zh-TW"/>
              </w:rPr>
              <w:t>、无利益冲突和保密承诺函</w:t>
            </w:r>
          </w:p>
        </w:tc>
      </w:tr>
      <w:tr w14:paraId="2D45B97D">
        <w:tblPrEx>
          <w:tblCellMar>
            <w:top w:w="0" w:type="dxa"/>
            <w:left w:w="10" w:type="dxa"/>
            <w:bottom w:w="0" w:type="dxa"/>
            <w:right w:w="10" w:type="dxa"/>
          </w:tblCellMar>
        </w:tblPrEx>
        <w:trPr>
          <w:trHeight w:val="1755" w:hRule="exact"/>
          <w:jc w:val="center"/>
        </w:trPr>
        <w:tc>
          <w:tcPr>
            <w:tcW w:w="616" w:type="dxa"/>
            <w:tcBorders>
              <w:top w:val="single" w:color="auto" w:sz="4" w:space="0"/>
              <w:left w:val="single" w:color="auto" w:sz="4" w:space="0"/>
              <w:bottom w:val="single" w:color="auto" w:sz="4" w:space="0"/>
            </w:tcBorders>
            <w:shd w:val="clear" w:color="auto" w:fill="FFFFFF"/>
            <w:vAlign w:val="center"/>
          </w:tcPr>
          <w:p w14:paraId="2281A607">
            <w:pPr>
              <w:pStyle w:val="3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6383" w:type="dxa"/>
            <w:tcBorders>
              <w:top w:val="single" w:color="auto" w:sz="4" w:space="0"/>
              <w:left w:val="single" w:color="auto" w:sz="4" w:space="0"/>
              <w:bottom w:val="single" w:color="auto" w:sz="4" w:space="0"/>
            </w:tcBorders>
            <w:shd w:val="clear" w:color="auto" w:fill="FFFFFF"/>
            <w:vAlign w:val="center"/>
          </w:tcPr>
          <w:p w14:paraId="7E2D5242">
            <w:pPr>
              <w:pStyle w:val="31"/>
              <w:keepNext w:val="0"/>
              <w:keepLines w:val="0"/>
              <w:pageBreakBefore w:val="0"/>
              <w:widowControl w:val="0"/>
              <w:kinsoku/>
              <w:wordWrap/>
              <w:overflowPunct/>
              <w:topLinePunct w:val="0"/>
              <w:autoSpaceDE/>
              <w:autoSpaceDN/>
              <w:bidi w:val="0"/>
              <w:adjustRightInd/>
              <w:snapToGrid/>
              <w:spacing w:line="240" w:lineRule="auto"/>
              <w:ind w:right="272" w:rightChars="85" w:firstLine="0"/>
              <w:jc w:val="both"/>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律师团队资格要求：安徽出版集团法律中介机构备选库（2023-2026）</w:t>
            </w:r>
            <w:r>
              <w:rPr>
                <w:rFonts w:hint="default" w:ascii="Times New Roman" w:hAnsi="Times New Roman" w:eastAsia="仿宋" w:cs="Times New Roman"/>
                <w:sz w:val="24"/>
                <w:szCs w:val="24"/>
                <w:lang w:val="en-US" w:eastAsia="zh-CN"/>
              </w:rPr>
              <w:t>及集团外聘法律服务中介机构备选库增补名单</w:t>
            </w:r>
            <w:r>
              <w:rPr>
                <w:rFonts w:hint="default" w:ascii="Times New Roman" w:hAnsi="Times New Roman" w:eastAsia="仿宋" w:cs="Times New Roman"/>
                <w:sz w:val="24"/>
                <w:szCs w:val="24"/>
              </w:rPr>
              <w:t>组别</w:t>
            </w:r>
            <w:r>
              <w:rPr>
                <w:rFonts w:hint="eastAsia" w:ascii="Times New Roman" w:hAnsi="Times New Roman" w:eastAsia="仿宋" w:cs="Times New Roman"/>
                <w:sz w:val="24"/>
                <w:szCs w:val="24"/>
                <w:lang w:val="en-US" w:eastAsia="zh-CN"/>
              </w:rPr>
              <w:t>一或</w:t>
            </w:r>
            <w:r>
              <w:rPr>
                <w:rFonts w:hint="default" w:ascii="Times New Roman" w:hAnsi="Times New Roman" w:eastAsia="仿宋" w:cs="Times New Roman"/>
                <w:sz w:val="24"/>
                <w:szCs w:val="24"/>
              </w:rPr>
              <w:t>组别二团队人员范围内。</w:t>
            </w:r>
          </w:p>
          <w:p w14:paraId="56D81C67">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72" w:rightChars="85" w:firstLine="0" w:firstLineChars="0"/>
              <w:jc w:val="both"/>
              <w:textAlignment w:val="auto"/>
              <w:rPr>
                <w:rFonts w:hint="default" w:ascii="Times New Roman" w:hAnsi="Times New Roman" w:eastAsia="仿宋" w:cs="Times New Roman"/>
                <w:sz w:val="24"/>
                <w:szCs w:val="24"/>
              </w:rPr>
            </w:pPr>
          </w:p>
        </w:tc>
        <w:tc>
          <w:tcPr>
            <w:tcW w:w="25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9DBDCC0">
            <w:pPr>
              <w:pStyle w:val="31"/>
              <w:keepNext w:val="0"/>
              <w:keepLines w:val="0"/>
              <w:pageBreakBefore w:val="0"/>
              <w:widowControl w:val="0"/>
              <w:kinsoku/>
              <w:wordWrap/>
              <w:overflowPunct/>
              <w:topLinePunct w:val="0"/>
              <w:autoSpaceDE/>
              <w:autoSpaceDN/>
              <w:bidi w:val="0"/>
              <w:adjustRightInd/>
              <w:snapToGrid/>
              <w:spacing w:after="200" w:line="240" w:lineRule="auto"/>
              <w:ind w:right="96" w:rightChars="30" w:firstLine="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提供团队人员名单及证书复印件并加盖公章</w:t>
            </w:r>
          </w:p>
        </w:tc>
      </w:tr>
    </w:tbl>
    <w:p w14:paraId="010CE1C5">
      <w:pPr>
        <w:spacing w:after="259" w:line="1" w:lineRule="exact"/>
      </w:pPr>
    </w:p>
    <w:tbl>
      <w:tblPr>
        <w:tblStyle w:val="14"/>
        <w:tblW w:w="0" w:type="auto"/>
        <w:jc w:val="center"/>
        <w:tblLayout w:type="fixed"/>
        <w:tblCellMar>
          <w:top w:w="0" w:type="dxa"/>
          <w:left w:w="10" w:type="dxa"/>
          <w:bottom w:w="0" w:type="dxa"/>
          <w:right w:w="10" w:type="dxa"/>
        </w:tblCellMar>
      </w:tblPr>
      <w:tblGrid>
        <w:gridCol w:w="1202"/>
        <w:gridCol w:w="2938"/>
        <w:gridCol w:w="5515"/>
      </w:tblGrid>
      <w:tr w14:paraId="2A30A90E">
        <w:tblPrEx>
          <w:tblCellMar>
            <w:top w:w="0" w:type="dxa"/>
            <w:left w:w="10" w:type="dxa"/>
            <w:bottom w:w="0" w:type="dxa"/>
            <w:right w:w="10" w:type="dxa"/>
          </w:tblCellMar>
        </w:tblPrEx>
        <w:trPr>
          <w:trHeight w:val="583" w:hRule="exact"/>
          <w:jc w:val="center"/>
        </w:trPr>
        <w:tc>
          <w:tcPr>
            <w:tcW w:w="9655" w:type="dxa"/>
            <w:gridSpan w:val="3"/>
            <w:tcBorders>
              <w:top w:val="single" w:color="auto" w:sz="4" w:space="0"/>
              <w:left w:val="single" w:color="auto" w:sz="4" w:space="0"/>
              <w:right w:val="single" w:color="auto" w:sz="4" w:space="0"/>
            </w:tcBorders>
            <w:shd w:val="clear" w:color="auto" w:fill="FFFFFF"/>
            <w:vAlign w:val="center"/>
          </w:tcPr>
          <w:p w14:paraId="14B90910">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2、符合性审查指标</w:t>
            </w:r>
          </w:p>
        </w:tc>
      </w:tr>
      <w:tr w14:paraId="3AA4A453">
        <w:tblPrEx>
          <w:tblCellMar>
            <w:top w:w="0" w:type="dxa"/>
            <w:left w:w="10" w:type="dxa"/>
            <w:bottom w:w="0" w:type="dxa"/>
            <w:right w:w="10" w:type="dxa"/>
          </w:tblCellMar>
        </w:tblPrEx>
        <w:trPr>
          <w:trHeight w:val="576" w:hRule="exact"/>
          <w:jc w:val="center"/>
        </w:trPr>
        <w:tc>
          <w:tcPr>
            <w:tcW w:w="1202" w:type="dxa"/>
            <w:tcBorders>
              <w:top w:val="single" w:color="auto" w:sz="4" w:space="0"/>
              <w:left w:val="single" w:color="auto" w:sz="4" w:space="0"/>
            </w:tcBorders>
            <w:shd w:val="clear" w:color="auto" w:fill="FFFFFF"/>
            <w:vAlign w:val="center"/>
          </w:tcPr>
          <w:p w14:paraId="5CD50355">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2938" w:type="dxa"/>
            <w:tcBorders>
              <w:top w:val="single" w:color="auto" w:sz="4" w:space="0"/>
              <w:left w:val="single" w:color="auto" w:sz="4" w:space="0"/>
            </w:tcBorders>
            <w:shd w:val="clear" w:color="auto" w:fill="FFFFFF"/>
            <w:vAlign w:val="center"/>
          </w:tcPr>
          <w:p w14:paraId="6A6CAC84">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指标描述</w:t>
            </w:r>
          </w:p>
        </w:tc>
        <w:tc>
          <w:tcPr>
            <w:tcW w:w="5515" w:type="dxa"/>
            <w:tcBorders>
              <w:top w:val="single" w:color="auto" w:sz="4" w:space="0"/>
              <w:left w:val="single" w:color="auto" w:sz="4" w:space="0"/>
              <w:right w:val="single" w:color="auto" w:sz="4" w:space="0"/>
            </w:tcBorders>
            <w:shd w:val="clear" w:color="auto" w:fill="FFFFFF"/>
            <w:vAlign w:val="center"/>
          </w:tcPr>
          <w:p w14:paraId="6C3B79CB">
            <w:pPr>
              <w:pStyle w:val="31"/>
              <w:spacing w:line="240" w:lineRule="auto"/>
              <w:ind w:left="2240"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指标要求</w:t>
            </w:r>
          </w:p>
        </w:tc>
      </w:tr>
      <w:tr w14:paraId="06189F7D">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14:paraId="0EEA64FC">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2938" w:type="dxa"/>
            <w:tcBorders>
              <w:top w:val="single" w:color="auto" w:sz="4" w:space="0"/>
              <w:left w:val="single" w:color="auto" w:sz="4" w:space="0"/>
            </w:tcBorders>
            <w:shd w:val="clear" w:color="auto" w:fill="FFFFFF"/>
            <w:vAlign w:val="bottom"/>
          </w:tcPr>
          <w:p w14:paraId="67D91A79">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授权委托书</w:t>
            </w:r>
          </w:p>
        </w:tc>
        <w:tc>
          <w:tcPr>
            <w:tcW w:w="5515" w:type="dxa"/>
            <w:tcBorders>
              <w:top w:val="single" w:color="auto" w:sz="4" w:space="0"/>
              <w:left w:val="single" w:color="auto" w:sz="4" w:space="0"/>
              <w:right w:val="single" w:color="auto" w:sz="4" w:space="0"/>
            </w:tcBorders>
            <w:shd w:val="clear" w:color="auto" w:fill="FFFFFF"/>
            <w:vAlign w:val="bottom"/>
          </w:tcPr>
          <w:p w14:paraId="209DE1C4">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符合采购文件要求</w:t>
            </w:r>
          </w:p>
        </w:tc>
      </w:tr>
      <w:tr w14:paraId="6A2AF547">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14:paraId="5083119B">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2938" w:type="dxa"/>
            <w:tcBorders>
              <w:top w:val="single" w:color="auto" w:sz="4" w:space="0"/>
              <w:left w:val="single" w:color="auto" w:sz="4" w:space="0"/>
            </w:tcBorders>
            <w:shd w:val="clear" w:color="auto" w:fill="FFFFFF"/>
            <w:vAlign w:val="bottom"/>
          </w:tcPr>
          <w:p w14:paraId="1D74603B">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投标人名称</w:t>
            </w:r>
          </w:p>
        </w:tc>
        <w:tc>
          <w:tcPr>
            <w:tcW w:w="5515" w:type="dxa"/>
            <w:tcBorders>
              <w:top w:val="single" w:color="auto" w:sz="4" w:space="0"/>
              <w:left w:val="single" w:color="auto" w:sz="4" w:space="0"/>
              <w:right w:val="single" w:color="auto" w:sz="4" w:space="0"/>
            </w:tcBorders>
            <w:shd w:val="clear" w:color="auto" w:fill="FFFFFF"/>
            <w:vAlign w:val="bottom"/>
          </w:tcPr>
          <w:p w14:paraId="00F0E687">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w:t>
            </w:r>
            <w:r>
              <w:rPr>
                <w:rFonts w:hint="default" w:ascii="Times New Roman" w:hAnsi="Times New Roman" w:eastAsia="仿宋" w:cs="Times New Roman"/>
                <w:sz w:val="24"/>
                <w:szCs w:val="24"/>
                <w:lang w:eastAsia="zh-CN"/>
              </w:rPr>
              <w:t>有效律师事务所执业许可证</w:t>
            </w:r>
            <w:r>
              <w:rPr>
                <w:rFonts w:hint="default" w:ascii="Times New Roman" w:hAnsi="Times New Roman" w:eastAsia="仿宋" w:cs="Times New Roman"/>
                <w:sz w:val="24"/>
                <w:szCs w:val="24"/>
              </w:rPr>
              <w:t>一致</w:t>
            </w:r>
          </w:p>
        </w:tc>
      </w:tr>
      <w:tr w14:paraId="4FAF5708">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14:paraId="46AB798E">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2938" w:type="dxa"/>
            <w:tcBorders>
              <w:top w:val="single" w:color="auto" w:sz="4" w:space="0"/>
              <w:left w:val="single" w:color="auto" w:sz="4" w:space="0"/>
            </w:tcBorders>
            <w:shd w:val="clear" w:color="auto" w:fill="FFFFFF"/>
            <w:vAlign w:val="bottom"/>
          </w:tcPr>
          <w:p w14:paraId="5F73CF40">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投标函签字盖章</w:t>
            </w:r>
          </w:p>
        </w:tc>
        <w:tc>
          <w:tcPr>
            <w:tcW w:w="5515" w:type="dxa"/>
            <w:tcBorders>
              <w:top w:val="single" w:color="auto" w:sz="4" w:space="0"/>
              <w:left w:val="single" w:color="auto" w:sz="4" w:space="0"/>
              <w:right w:val="single" w:color="auto" w:sz="4" w:space="0"/>
            </w:tcBorders>
            <w:shd w:val="clear" w:color="auto" w:fill="FFFFFF"/>
            <w:vAlign w:val="bottom"/>
          </w:tcPr>
          <w:p w14:paraId="1397EDD2">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zh-CN" w:eastAsia="zh-CN" w:bidi="zh-CN"/>
              </w:rPr>
              <w:t>格式</w:t>
            </w:r>
            <w:r>
              <w:rPr>
                <w:rFonts w:hint="default" w:ascii="Times New Roman" w:hAnsi="Times New Roman" w:eastAsia="仿宋" w:cs="Times New Roman"/>
                <w:sz w:val="24"/>
                <w:szCs w:val="24"/>
              </w:rPr>
              <w:t>填写要求符合采购文件规定</w:t>
            </w:r>
          </w:p>
        </w:tc>
      </w:tr>
      <w:tr w14:paraId="5D04D06C">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14:paraId="237FD834">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2938" w:type="dxa"/>
            <w:tcBorders>
              <w:top w:val="single" w:color="auto" w:sz="4" w:space="0"/>
              <w:left w:val="single" w:color="auto" w:sz="4" w:space="0"/>
            </w:tcBorders>
            <w:shd w:val="clear" w:color="auto" w:fill="FFFFFF"/>
            <w:vAlign w:val="bottom"/>
          </w:tcPr>
          <w:p w14:paraId="24DB8705">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投标文件格式</w:t>
            </w:r>
          </w:p>
        </w:tc>
        <w:tc>
          <w:tcPr>
            <w:tcW w:w="5515" w:type="dxa"/>
            <w:tcBorders>
              <w:top w:val="single" w:color="auto" w:sz="4" w:space="0"/>
              <w:left w:val="single" w:color="auto" w:sz="4" w:space="0"/>
              <w:right w:val="single" w:color="auto" w:sz="4" w:space="0"/>
            </w:tcBorders>
            <w:shd w:val="clear" w:color="auto" w:fill="FFFFFF"/>
            <w:vAlign w:val="bottom"/>
          </w:tcPr>
          <w:p w14:paraId="6A31B1CE">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符合采购文件的要求</w:t>
            </w:r>
          </w:p>
        </w:tc>
      </w:tr>
      <w:tr w14:paraId="3C256564">
        <w:tblPrEx>
          <w:tblCellMar>
            <w:top w:w="0" w:type="dxa"/>
            <w:left w:w="10" w:type="dxa"/>
            <w:bottom w:w="0" w:type="dxa"/>
            <w:right w:w="10" w:type="dxa"/>
          </w:tblCellMar>
        </w:tblPrEx>
        <w:trPr>
          <w:trHeight w:val="468" w:hRule="exact"/>
          <w:jc w:val="center"/>
        </w:trPr>
        <w:tc>
          <w:tcPr>
            <w:tcW w:w="1202" w:type="dxa"/>
            <w:tcBorders>
              <w:top w:val="single" w:color="auto" w:sz="4" w:space="0"/>
              <w:left w:val="single" w:color="auto" w:sz="4" w:space="0"/>
            </w:tcBorders>
            <w:shd w:val="clear" w:color="auto" w:fill="FFFFFF"/>
            <w:vAlign w:val="bottom"/>
          </w:tcPr>
          <w:p w14:paraId="1743E978">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5</w:t>
            </w:r>
          </w:p>
        </w:tc>
        <w:tc>
          <w:tcPr>
            <w:tcW w:w="2938" w:type="dxa"/>
            <w:tcBorders>
              <w:top w:val="single" w:color="auto" w:sz="4" w:space="0"/>
              <w:left w:val="single" w:color="auto" w:sz="4" w:space="0"/>
            </w:tcBorders>
            <w:shd w:val="clear" w:color="auto" w:fill="FFFFFF"/>
            <w:vAlign w:val="bottom"/>
          </w:tcPr>
          <w:p w14:paraId="1AA5637C">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投标报价</w:t>
            </w:r>
          </w:p>
        </w:tc>
        <w:tc>
          <w:tcPr>
            <w:tcW w:w="5515" w:type="dxa"/>
            <w:tcBorders>
              <w:top w:val="single" w:color="auto" w:sz="4" w:space="0"/>
              <w:left w:val="single" w:color="auto" w:sz="4" w:space="0"/>
              <w:right w:val="single" w:color="auto" w:sz="4" w:space="0"/>
            </w:tcBorders>
            <w:shd w:val="clear" w:color="auto" w:fill="FFFFFF"/>
            <w:vAlign w:val="bottom"/>
          </w:tcPr>
          <w:p w14:paraId="11E5A148">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只能有一个有效报价，不可为范围值或区间值。</w:t>
            </w:r>
          </w:p>
        </w:tc>
      </w:tr>
      <w:tr w14:paraId="598BDE7D">
        <w:tblPrEx>
          <w:tblCellMar>
            <w:top w:w="0" w:type="dxa"/>
            <w:left w:w="10" w:type="dxa"/>
            <w:bottom w:w="0" w:type="dxa"/>
            <w:right w:w="10" w:type="dxa"/>
          </w:tblCellMar>
        </w:tblPrEx>
        <w:trPr>
          <w:trHeight w:val="461" w:hRule="exact"/>
          <w:jc w:val="center"/>
        </w:trPr>
        <w:tc>
          <w:tcPr>
            <w:tcW w:w="1202" w:type="dxa"/>
            <w:tcBorders>
              <w:top w:val="single" w:color="auto" w:sz="4" w:space="0"/>
              <w:left w:val="single" w:color="auto" w:sz="4" w:space="0"/>
            </w:tcBorders>
            <w:shd w:val="clear" w:color="auto" w:fill="FFFFFF"/>
            <w:vAlign w:val="bottom"/>
          </w:tcPr>
          <w:p w14:paraId="0B224AB8">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6</w:t>
            </w:r>
          </w:p>
        </w:tc>
        <w:tc>
          <w:tcPr>
            <w:tcW w:w="2938" w:type="dxa"/>
            <w:tcBorders>
              <w:top w:val="single" w:color="auto" w:sz="4" w:space="0"/>
              <w:left w:val="single" w:color="auto" w:sz="4" w:space="0"/>
            </w:tcBorders>
            <w:shd w:val="clear" w:color="auto" w:fill="FFFFFF"/>
            <w:vAlign w:val="bottom"/>
          </w:tcPr>
          <w:p w14:paraId="3D130623">
            <w:pPr>
              <w:pStyle w:val="31"/>
              <w:spacing w:line="240" w:lineRule="auto"/>
              <w:ind w:firstLine="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其 他</w:t>
            </w:r>
          </w:p>
        </w:tc>
        <w:tc>
          <w:tcPr>
            <w:tcW w:w="5515" w:type="dxa"/>
            <w:tcBorders>
              <w:top w:val="single" w:color="auto" w:sz="4" w:space="0"/>
              <w:left w:val="single" w:color="auto" w:sz="4" w:space="0"/>
              <w:right w:val="single" w:color="auto" w:sz="4" w:space="0"/>
            </w:tcBorders>
            <w:shd w:val="clear" w:color="auto" w:fill="FFFFFF"/>
            <w:vAlign w:val="bottom"/>
          </w:tcPr>
          <w:p w14:paraId="388507A4">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采购公告或采购文件列明的其他要求。</w:t>
            </w:r>
          </w:p>
        </w:tc>
      </w:tr>
      <w:tr w14:paraId="0EA06112">
        <w:tblPrEx>
          <w:tblCellMar>
            <w:top w:w="0" w:type="dxa"/>
            <w:left w:w="10" w:type="dxa"/>
            <w:bottom w:w="0" w:type="dxa"/>
            <w:right w:w="10" w:type="dxa"/>
          </w:tblCellMar>
        </w:tblPrEx>
        <w:trPr>
          <w:trHeight w:val="490" w:hRule="exact"/>
          <w:jc w:val="center"/>
        </w:trPr>
        <w:tc>
          <w:tcPr>
            <w:tcW w:w="9655"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14:paraId="371B8555">
            <w:pPr>
              <w:pStyle w:val="31"/>
              <w:spacing w:line="240" w:lineRule="auto"/>
              <w:ind w:firstLine="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初审指标通过标准：投标人必须通过上述资格审查和符合性审查的全部指标。</w:t>
            </w:r>
          </w:p>
        </w:tc>
      </w:tr>
    </w:tbl>
    <w:p w14:paraId="7107DE7C">
      <w:pPr>
        <w:pStyle w:val="13"/>
        <w:ind w:left="640" w:firstLine="640"/>
        <w:sectPr>
          <w:footerReference r:id="rId10" w:type="default"/>
          <w:footerReference r:id="rId11" w:type="even"/>
          <w:pgSz w:w="11900" w:h="16840"/>
          <w:pgMar w:top="2098" w:right="1531" w:bottom="2098" w:left="1531" w:header="919" w:footer="1871" w:gutter="0"/>
          <w:pgNumType w:start="1"/>
          <w:cols w:space="720" w:num="1"/>
          <w:docGrid w:linePitch="360" w:charSpace="0"/>
        </w:sectPr>
      </w:pPr>
    </w:p>
    <w:p w14:paraId="21514561">
      <w:pPr>
        <w:spacing w:after="259" w:line="1" w:lineRule="exact"/>
      </w:pPr>
    </w:p>
    <w:p w14:paraId="175BC67C">
      <w:pPr>
        <w:pStyle w:val="29"/>
        <w:keepNext/>
        <w:keepLines/>
        <w:spacing w:line="490" w:lineRule="exact"/>
        <w:ind w:firstLine="0"/>
        <w:jc w:val="center"/>
        <w:rPr>
          <w:rFonts w:hint="default" w:ascii="Times New Roman" w:hAnsi="Times New Roman" w:eastAsia="仿宋_GB2312" w:cs="Times New Roman"/>
          <w:sz w:val="28"/>
          <w:szCs w:val="28"/>
          <w:lang w:eastAsia="zh-CN"/>
        </w:rPr>
      </w:pPr>
      <w:bookmarkStart w:id="36" w:name="bookmark84"/>
      <w:bookmarkStart w:id="37" w:name="bookmark83"/>
      <w:bookmarkStart w:id="38" w:name="bookmark82"/>
      <w:bookmarkStart w:id="39" w:name="bookmark85"/>
      <w:r>
        <w:rPr>
          <w:rFonts w:hint="default" w:ascii="Times New Roman" w:hAnsi="Times New Roman" w:eastAsia="仿宋_GB2312" w:cs="Times New Roman"/>
          <w:b w:val="0"/>
          <w:bCs w:val="0"/>
          <w:sz w:val="28"/>
          <w:szCs w:val="28"/>
          <w:lang w:val="zh-CN" w:eastAsia="zh-CN" w:bidi="zh-CN"/>
        </w:rPr>
        <w:t>3</w:t>
      </w:r>
      <w:bookmarkEnd w:id="36"/>
      <w:r>
        <w:rPr>
          <w:rFonts w:hint="default" w:ascii="Times New Roman" w:hAnsi="Times New Roman" w:eastAsia="仿宋_GB2312" w:cs="Times New Roman"/>
          <w:sz w:val="28"/>
          <w:szCs w:val="28"/>
          <w:lang w:val="zh-CN" w:eastAsia="zh-CN" w:bidi="zh-CN"/>
        </w:rPr>
        <w:t>、</w:t>
      </w:r>
      <w:r>
        <w:rPr>
          <w:rFonts w:hint="default" w:ascii="Times New Roman" w:hAnsi="Times New Roman" w:eastAsia="仿宋_GB2312" w:cs="Times New Roman"/>
          <w:sz w:val="28"/>
          <w:szCs w:val="28"/>
        </w:rPr>
        <w:t>投标文件的详细评审（满分</w:t>
      </w:r>
      <w:r>
        <w:rPr>
          <w:rFonts w:hint="default" w:ascii="Times New Roman" w:hAnsi="Times New Roman" w:eastAsia="仿宋_GB2312" w:cs="Times New Roman"/>
          <w:b w:val="0"/>
          <w:bCs w:val="0"/>
          <w:sz w:val="28"/>
          <w:szCs w:val="28"/>
          <w:lang w:val="zh-CN" w:eastAsia="zh-CN" w:bidi="zh-CN"/>
        </w:rPr>
        <w:t>100</w:t>
      </w:r>
      <w:r>
        <w:rPr>
          <w:rFonts w:hint="default" w:ascii="Times New Roman" w:hAnsi="Times New Roman" w:eastAsia="仿宋_GB2312" w:cs="Times New Roman"/>
          <w:sz w:val="28"/>
          <w:szCs w:val="28"/>
        </w:rPr>
        <w:t>分）</w:t>
      </w:r>
      <w:bookmarkEnd w:id="37"/>
      <w:bookmarkEnd w:id="38"/>
      <w:bookmarkEnd w:id="39"/>
    </w:p>
    <w:p w14:paraId="479F55CE">
      <w:pPr>
        <w:pStyle w:val="25"/>
        <w:spacing w:after="140" w:line="560" w:lineRule="exact"/>
        <w:ind w:left="0" w:leftChars="0" w:right="440"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（一）评委会将对所有通过初审的投标文件从商务部分、报价部分、技术部分进行详细评审，各家投标人的得分为各位评委打分的算术平均值（计算结果保留小数点后两位，第三位四舍五入）。</w:t>
      </w:r>
    </w:p>
    <w:p w14:paraId="0CCC9A72">
      <w:pPr>
        <w:pStyle w:val="25"/>
        <w:spacing w:line="560" w:lineRule="exact"/>
        <w:ind w:firstLine="560" w:firstLineChars="200"/>
        <w:rPr>
          <w:rFonts w:ascii="Times New Roman" w:hAnsi="Times New Roman" w:eastAsia="仿宋_GB2312" w:cs="Times New Roman"/>
          <w:sz w:val="28"/>
          <w:szCs w:val="28"/>
        </w:rPr>
      </w:pPr>
      <w:bookmarkStart w:id="40" w:name="OLE_LINK24"/>
      <w:r>
        <w:rPr>
          <w:rFonts w:ascii="Times New Roman" w:hAnsi="Times New Roman" w:eastAsia="仿宋_GB2312" w:cs="Times New Roman"/>
          <w:sz w:val="28"/>
          <w:szCs w:val="28"/>
        </w:rPr>
        <w:t>（二）详细评审指标如下：</w:t>
      </w:r>
    </w:p>
    <w:tbl>
      <w:tblPr>
        <w:tblStyle w:val="14"/>
        <w:tblW w:w="9951" w:type="dxa"/>
        <w:jc w:val="center"/>
        <w:tblLayout w:type="fixed"/>
        <w:tblCellMar>
          <w:top w:w="0" w:type="dxa"/>
          <w:left w:w="10" w:type="dxa"/>
          <w:bottom w:w="0" w:type="dxa"/>
          <w:right w:w="10" w:type="dxa"/>
        </w:tblCellMar>
      </w:tblPr>
      <w:tblGrid>
        <w:gridCol w:w="1289"/>
        <w:gridCol w:w="14"/>
        <w:gridCol w:w="1190"/>
        <w:gridCol w:w="6464"/>
        <w:gridCol w:w="994"/>
      </w:tblGrid>
      <w:tr w14:paraId="48F69E29">
        <w:tblPrEx>
          <w:tblCellMar>
            <w:top w:w="0" w:type="dxa"/>
            <w:left w:w="10" w:type="dxa"/>
            <w:bottom w:w="0" w:type="dxa"/>
            <w:right w:w="10" w:type="dxa"/>
          </w:tblCellMar>
        </w:tblPrEx>
        <w:trPr>
          <w:trHeight w:val="430" w:hRule="exact"/>
          <w:jc w:val="center"/>
        </w:trPr>
        <w:tc>
          <w:tcPr>
            <w:tcW w:w="1303" w:type="dxa"/>
            <w:gridSpan w:val="2"/>
            <w:tcBorders>
              <w:top w:val="single" w:color="auto" w:sz="4" w:space="0"/>
              <w:left w:val="single" w:color="auto" w:sz="4" w:space="0"/>
              <w:bottom w:val="single" w:color="auto" w:sz="4" w:space="0"/>
            </w:tcBorders>
            <w:shd w:val="clear" w:color="auto" w:fill="FFFFFF"/>
            <w:vAlign w:val="center"/>
          </w:tcPr>
          <w:p w14:paraId="4874995A">
            <w:pPr>
              <w:pStyle w:val="31"/>
              <w:spacing w:line="240" w:lineRule="auto"/>
              <w:ind w:firstLine="0"/>
              <w:jc w:val="center"/>
              <w:rPr>
                <w:rFonts w:hint="eastAsia" w:ascii="仿宋" w:hAnsi="仿宋" w:eastAsia="仿宋" w:cs="仿宋"/>
                <w:b/>
                <w:bCs/>
                <w:sz w:val="24"/>
                <w:szCs w:val="24"/>
              </w:rPr>
            </w:pPr>
            <w:r>
              <w:rPr>
                <w:rFonts w:hint="eastAsia" w:ascii="仿宋" w:hAnsi="仿宋" w:eastAsia="仿宋" w:cs="仿宋"/>
                <w:b/>
                <w:bCs/>
                <w:sz w:val="24"/>
                <w:szCs w:val="24"/>
              </w:rPr>
              <w:t>评分</w:t>
            </w:r>
            <w:r>
              <w:rPr>
                <w:rFonts w:hint="eastAsia" w:ascii="仿宋" w:hAnsi="仿宋" w:eastAsia="仿宋" w:cs="仿宋"/>
                <w:b/>
                <w:bCs/>
                <w:sz w:val="24"/>
                <w:szCs w:val="24"/>
                <w:lang w:eastAsia="zh-CN"/>
              </w:rPr>
              <w:t>项目</w:t>
            </w:r>
          </w:p>
        </w:tc>
        <w:tc>
          <w:tcPr>
            <w:tcW w:w="1190" w:type="dxa"/>
            <w:tcBorders>
              <w:top w:val="single" w:color="auto" w:sz="4" w:space="0"/>
              <w:left w:val="single" w:color="auto" w:sz="4" w:space="0"/>
              <w:bottom w:val="single" w:color="auto" w:sz="4" w:space="0"/>
            </w:tcBorders>
            <w:shd w:val="clear" w:color="auto" w:fill="FFFFFF"/>
            <w:vAlign w:val="center"/>
          </w:tcPr>
          <w:p w14:paraId="06B88CEB">
            <w:pPr>
              <w:pStyle w:val="31"/>
              <w:spacing w:line="240" w:lineRule="auto"/>
              <w:ind w:firstLine="0"/>
              <w:jc w:val="center"/>
              <w:rPr>
                <w:rFonts w:hint="eastAsia" w:ascii="仿宋" w:hAnsi="仿宋" w:eastAsia="仿宋" w:cs="仿宋"/>
                <w:sz w:val="24"/>
                <w:szCs w:val="24"/>
                <w:lang w:eastAsia="zh-CN"/>
              </w:rPr>
            </w:pPr>
            <w:r>
              <w:rPr>
                <w:rFonts w:hint="eastAsia" w:ascii="仿宋" w:hAnsi="仿宋" w:eastAsia="仿宋" w:cs="仿宋"/>
                <w:b/>
                <w:bCs/>
                <w:sz w:val="24"/>
                <w:szCs w:val="24"/>
              </w:rPr>
              <w:t>评分</w:t>
            </w:r>
            <w:r>
              <w:rPr>
                <w:rFonts w:hint="eastAsia" w:ascii="仿宋" w:hAnsi="仿宋" w:eastAsia="仿宋" w:cs="仿宋"/>
                <w:b/>
                <w:bCs/>
                <w:sz w:val="24"/>
                <w:szCs w:val="24"/>
                <w:lang w:eastAsia="zh-CN"/>
              </w:rPr>
              <w:t>项目</w:t>
            </w:r>
          </w:p>
        </w:tc>
        <w:tc>
          <w:tcPr>
            <w:tcW w:w="6464" w:type="dxa"/>
            <w:tcBorders>
              <w:top w:val="single" w:color="auto" w:sz="4" w:space="0"/>
              <w:left w:val="single" w:color="auto" w:sz="4" w:space="0"/>
            </w:tcBorders>
            <w:shd w:val="clear" w:color="auto" w:fill="FFFFFF"/>
            <w:vAlign w:val="center"/>
          </w:tcPr>
          <w:p w14:paraId="2BEBCE10">
            <w:pPr>
              <w:pStyle w:val="31"/>
              <w:spacing w:line="240" w:lineRule="auto"/>
              <w:ind w:firstLine="0"/>
              <w:jc w:val="center"/>
              <w:rPr>
                <w:rFonts w:hint="eastAsia" w:ascii="仿宋" w:hAnsi="仿宋" w:eastAsia="仿宋" w:cs="仿宋"/>
                <w:sz w:val="24"/>
                <w:szCs w:val="24"/>
              </w:rPr>
            </w:pPr>
            <w:r>
              <w:rPr>
                <w:rFonts w:hint="eastAsia" w:ascii="仿宋" w:hAnsi="仿宋" w:eastAsia="仿宋" w:cs="仿宋"/>
                <w:b/>
                <w:bCs/>
                <w:sz w:val="24"/>
                <w:szCs w:val="24"/>
              </w:rPr>
              <w:t>评分依据</w:t>
            </w:r>
          </w:p>
        </w:tc>
        <w:tc>
          <w:tcPr>
            <w:tcW w:w="994" w:type="dxa"/>
            <w:tcBorders>
              <w:top w:val="single" w:color="auto" w:sz="4" w:space="0"/>
              <w:left w:val="single" w:color="auto" w:sz="4" w:space="0"/>
              <w:right w:val="single" w:color="auto" w:sz="4" w:space="0"/>
            </w:tcBorders>
            <w:shd w:val="clear" w:color="auto" w:fill="FFFFFF"/>
            <w:vAlign w:val="center"/>
          </w:tcPr>
          <w:p w14:paraId="7FA19E3A">
            <w:pPr>
              <w:pStyle w:val="31"/>
              <w:spacing w:line="240" w:lineRule="auto"/>
              <w:ind w:firstLine="0"/>
              <w:jc w:val="center"/>
              <w:rPr>
                <w:rFonts w:hint="eastAsia" w:ascii="仿宋" w:hAnsi="仿宋" w:eastAsia="仿宋" w:cs="仿宋"/>
                <w:sz w:val="24"/>
                <w:szCs w:val="24"/>
              </w:rPr>
            </w:pPr>
            <w:r>
              <w:rPr>
                <w:rFonts w:hint="eastAsia" w:ascii="仿宋" w:hAnsi="仿宋" w:eastAsia="仿宋" w:cs="仿宋"/>
                <w:b/>
                <w:bCs/>
                <w:sz w:val="24"/>
                <w:szCs w:val="24"/>
              </w:rPr>
              <w:t>分值</w:t>
            </w:r>
          </w:p>
        </w:tc>
      </w:tr>
      <w:tr w14:paraId="2CC8AF02">
        <w:tblPrEx>
          <w:tblCellMar>
            <w:top w:w="0" w:type="dxa"/>
            <w:left w:w="10" w:type="dxa"/>
            <w:bottom w:w="0" w:type="dxa"/>
            <w:right w:w="10" w:type="dxa"/>
          </w:tblCellMar>
        </w:tblPrEx>
        <w:trPr>
          <w:trHeight w:val="8590" w:hRule="exact"/>
          <w:jc w:val="center"/>
        </w:trPr>
        <w:tc>
          <w:tcPr>
            <w:tcW w:w="130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D6BA49">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69F7A358">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501AD4DB">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3C834BB2">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0C51EAF0">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2E0B1B05">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商务部分</w:t>
            </w:r>
          </w:p>
          <w:p w14:paraId="37A41B25">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35</w:t>
            </w:r>
            <w:r>
              <w:rPr>
                <w:rFonts w:hint="eastAsia" w:ascii="仿宋" w:hAnsi="仿宋" w:eastAsia="仿宋" w:cs="仿宋"/>
                <w:sz w:val="24"/>
                <w:szCs w:val="24"/>
                <w:lang w:eastAsia="zh-CN"/>
              </w:rPr>
              <w:t>分）</w:t>
            </w:r>
          </w:p>
          <w:p w14:paraId="62110A6E">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3A97F336">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390C588C">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48C6FC76">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217EC66E">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357387E9">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563279BA">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p>
          <w:p w14:paraId="18DCD0C6">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rPr>
            </w:pPr>
          </w:p>
        </w:tc>
        <w:tc>
          <w:tcPr>
            <w:tcW w:w="1190" w:type="dxa"/>
            <w:tcBorders>
              <w:top w:val="single" w:color="auto" w:sz="4" w:space="0"/>
              <w:left w:val="single" w:color="auto" w:sz="4" w:space="0"/>
              <w:bottom w:val="single" w:color="auto" w:sz="4" w:space="0"/>
              <w:right w:val="single" w:color="auto" w:sz="4" w:space="0"/>
            </w:tcBorders>
            <w:shd w:val="clear" w:color="auto" w:fill="FFFFFF"/>
            <w:vAlign w:val="center"/>
          </w:tcPr>
          <w:p w14:paraId="35D7847B">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服务团队资质、业绩</w:t>
            </w:r>
          </w:p>
          <w:p w14:paraId="0F63AE4F">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35</w:t>
            </w:r>
            <w:r>
              <w:rPr>
                <w:rFonts w:hint="eastAsia" w:ascii="仿宋" w:hAnsi="仿宋" w:eastAsia="仿宋" w:cs="仿宋"/>
                <w:sz w:val="24"/>
                <w:szCs w:val="24"/>
                <w:lang w:eastAsia="zh-CN"/>
              </w:rPr>
              <w:t>分）</w:t>
            </w:r>
          </w:p>
        </w:tc>
        <w:tc>
          <w:tcPr>
            <w:tcW w:w="6464" w:type="dxa"/>
            <w:tcBorders>
              <w:top w:val="single" w:color="auto" w:sz="4" w:space="0"/>
              <w:left w:val="single" w:color="auto" w:sz="4" w:space="0"/>
              <w:bottom w:val="single" w:color="auto" w:sz="4" w:space="0"/>
              <w:right w:val="single" w:color="auto" w:sz="4" w:space="0"/>
            </w:tcBorders>
            <w:shd w:val="clear" w:color="auto" w:fill="FFFFFF"/>
            <w:vAlign w:val="center"/>
          </w:tcPr>
          <w:p w14:paraId="601099E6">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委派</w:t>
            </w:r>
            <w:r>
              <w:rPr>
                <w:rFonts w:hint="eastAsia" w:ascii="仿宋" w:hAnsi="仿宋" w:eastAsia="仿宋" w:cs="仿宋"/>
                <w:color w:val="auto"/>
                <w:sz w:val="24"/>
                <w:szCs w:val="24"/>
                <w:highlight w:val="none"/>
              </w:rPr>
              <w:t>律师团队</w:t>
            </w:r>
            <w:r>
              <w:rPr>
                <w:rFonts w:hint="eastAsia" w:ascii="仿宋" w:hAnsi="仿宋" w:eastAsia="仿宋" w:cs="仿宋"/>
                <w:color w:val="auto"/>
                <w:sz w:val="24"/>
                <w:szCs w:val="24"/>
                <w:highlight w:val="none"/>
                <w:lang w:val="en-US" w:eastAsia="zh-CN"/>
              </w:rPr>
              <w:t>人数5人（含）以上得2分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3人（含）以上得1分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以下不得分</w:t>
            </w:r>
            <w:r>
              <w:rPr>
                <w:rFonts w:hint="eastAsia" w:ascii="仿宋" w:hAnsi="仿宋" w:eastAsia="仿宋" w:cs="仿宋"/>
                <w:color w:val="auto"/>
                <w:kern w:val="2"/>
                <w:sz w:val="24"/>
                <w:szCs w:val="24"/>
                <w:highlight w:val="none"/>
                <w:lang w:val="en-US" w:eastAsia="zh-CN" w:bidi="ar-SA"/>
              </w:rPr>
              <w:t>。本项满分2分。</w:t>
            </w:r>
            <w:r>
              <w:rPr>
                <w:rFonts w:hint="eastAsia" w:ascii="仿宋" w:hAnsi="仿宋" w:eastAsia="仿宋" w:cs="仿宋"/>
                <w:color w:val="auto"/>
                <w:sz w:val="24"/>
                <w:szCs w:val="24"/>
                <w:highlight w:val="none"/>
              </w:rPr>
              <w:t>注：提供</w:t>
            </w:r>
            <w:r>
              <w:rPr>
                <w:rFonts w:hint="eastAsia" w:ascii="仿宋" w:hAnsi="仿宋" w:eastAsia="仿宋" w:cs="仿宋"/>
                <w:color w:val="auto"/>
                <w:sz w:val="24"/>
                <w:szCs w:val="24"/>
                <w:highlight w:val="none"/>
                <w:lang w:val="en-US" w:eastAsia="zh-CN"/>
              </w:rPr>
              <w:t>团队成员名单。</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（2）委派</w:t>
            </w:r>
            <w:r>
              <w:rPr>
                <w:rFonts w:hint="eastAsia" w:ascii="仿宋" w:hAnsi="仿宋" w:eastAsia="仿宋" w:cs="仿宋"/>
                <w:color w:val="auto"/>
                <w:sz w:val="24"/>
                <w:szCs w:val="24"/>
                <w:highlight w:val="none"/>
              </w:rPr>
              <w:t>团队负责人拥有</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以上执业经历</w:t>
            </w:r>
            <w:r>
              <w:rPr>
                <w:rFonts w:hint="eastAsia" w:ascii="仿宋" w:hAnsi="仿宋" w:eastAsia="仿宋" w:cs="仿宋"/>
                <w:color w:val="auto"/>
                <w:sz w:val="24"/>
                <w:szCs w:val="24"/>
                <w:highlight w:val="none"/>
                <w:lang w:val="en-US" w:eastAsia="zh-CN"/>
              </w:rPr>
              <w:t>的得5分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以上执业经历</w:t>
            </w:r>
            <w:r>
              <w:rPr>
                <w:rFonts w:hint="eastAsia" w:ascii="仿宋" w:hAnsi="仿宋" w:eastAsia="仿宋" w:cs="仿宋"/>
                <w:color w:val="auto"/>
                <w:sz w:val="24"/>
                <w:szCs w:val="24"/>
                <w:highlight w:val="none"/>
                <w:lang w:val="en-US" w:eastAsia="zh-CN"/>
              </w:rPr>
              <w:t>的得3分；10</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以上执业经历</w:t>
            </w:r>
            <w:r>
              <w:rPr>
                <w:rFonts w:hint="eastAsia" w:ascii="仿宋" w:hAnsi="仿宋" w:eastAsia="仿宋" w:cs="仿宋"/>
                <w:color w:val="auto"/>
                <w:sz w:val="24"/>
                <w:szCs w:val="24"/>
                <w:highlight w:val="none"/>
                <w:lang w:val="en-US" w:eastAsia="zh-CN"/>
              </w:rPr>
              <w:t>的得1分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以下不得分</w:t>
            </w:r>
            <w:r>
              <w:rPr>
                <w:rFonts w:hint="eastAsia" w:ascii="仿宋" w:hAnsi="仿宋" w:eastAsia="仿宋" w:cs="仿宋"/>
                <w:color w:val="auto"/>
                <w:kern w:val="2"/>
                <w:sz w:val="24"/>
                <w:szCs w:val="24"/>
                <w:highlight w:val="none"/>
                <w:lang w:val="en-US" w:eastAsia="zh-CN" w:bidi="ar-SA"/>
              </w:rPr>
              <w:t>。本项满分5分。</w:t>
            </w:r>
            <w:r>
              <w:rPr>
                <w:rFonts w:hint="eastAsia" w:ascii="仿宋" w:hAnsi="仿宋" w:eastAsia="仿宋" w:cs="仿宋"/>
                <w:color w:val="auto"/>
                <w:sz w:val="24"/>
                <w:szCs w:val="24"/>
                <w:highlight w:val="none"/>
              </w:rPr>
              <w:t>注：提供</w:t>
            </w:r>
            <w:r>
              <w:rPr>
                <w:rFonts w:hint="eastAsia" w:ascii="仿宋" w:hAnsi="仿宋" w:eastAsia="仿宋" w:cs="仿宋"/>
                <w:color w:val="auto"/>
                <w:sz w:val="24"/>
                <w:szCs w:val="24"/>
                <w:highlight w:val="none"/>
                <w:lang w:val="en-US" w:eastAsia="zh-CN"/>
              </w:rPr>
              <w:t>证明材料。</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2"/>
                <w:sz w:val="24"/>
                <w:szCs w:val="24"/>
                <w:highlight w:val="none"/>
                <w:lang w:val="en-US" w:eastAsia="zh-CN" w:bidi="ar-SA"/>
              </w:rPr>
              <w:t>委派</w:t>
            </w:r>
            <w:r>
              <w:rPr>
                <w:rFonts w:hint="eastAsia" w:ascii="仿宋" w:hAnsi="仿宋" w:eastAsia="仿宋" w:cs="仿宋"/>
                <w:color w:val="auto"/>
                <w:sz w:val="24"/>
                <w:szCs w:val="24"/>
                <w:highlight w:val="none"/>
              </w:rPr>
              <w:t>团队负责人</w:t>
            </w:r>
            <w:r>
              <w:rPr>
                <w:rFonts w:hint="eastAsia" w:ascii="仿宋" w:hAnsi="仿宋" w:eastAsia="仿宋" w:cs="仿宋"/>
                <w:color w:val="auto"/>
                <w:sz w:val="24"/>
                <w:szCs w:val="24"/>
                <w:highlight w:val="none"/>
                <w:lang w:val="en-US" w:eastAsia="zh-CN"/>
              </w:rPr>
              <w:t>获得高</w:t>
            </w:r>
            <w:r>
              <w:rPr>
                <w:rFonts w:hint="eastAsia" w:ascii="仿宋" w:hAnsi="仿宋" w:eastAsia="仿宋" w:cs="仿宋"/>
                <w:color w:val="auto"/>
                <w:sz w:val="24"/>
                <w:szCs w:val="24"/>
                <w:highlight w:val="none"/>
              </w:rPr>
              <w:t>级律师职称</w:t>
            </w:r>
            <w:r>
              <w:rPr>
                <w:rFonts w:hint="eastAsia" w:ascii="仿宋" w:hAnsi="仿宋" w:eastAsia="仿宋" w:cs="仿宋"/>
                <w:color w:val="auto"/>
                <w:sz w:val="24"/>
                <w:szCs w:val="24"/>
                <w:highlight w:val="none"/>
                <w:lang w:val="en-US" w:eastAsia="zh-CN"/>
              </w:rPr>
              <w:t>的得5分；</w:t>
            </w:r>
            <w:r>
              <w:rPr>
                <w:rFonts w:hint="eastAsia" w:ascii="仿宋" w:hAnsi="仿宋" w:eastAsia="仿宋" w:cs="仿宋"/>
                <w:color w:val="auto"/>
                <w:sz w:val="24"/>
                <w:szCs w:val="24"/>
                <w:highlight w:val="none"/>
              </w:rPr>
              <w:t>中级律师职称</w:t>
            </w:r>
            <w:r>
              <w:rPr>
                <w:rFonts w:hint="eastAsia" w:ascii="仿宋" w:hAnsi="仿宋" w:eastAsia="仿宋" w:cs="仿宋"/>
                <w:color w:val="auto"/>
                <w:sz w:val="24"/>
                <w:szCs w:val="24"/>
                <w:highlight w:val="none"/>
                <w:lang w:val="en-US" w:eastAsia="zh-CN"/>
              </w:rPr>
              <w:t>的得3分</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lang w:val="en-US" w:eastAsia="zh-CN" w:bidi="ar-SA"/>
              </w:rPr>
              <w:t>没有不得分。本项满分</w:t>
            </w:r>
            <w:r>
              <w:rPr>
                <w:rFonts w:hint="eastAsia" w:ascii="仿宋" w:hAnsi="仿宋" w:eastAsia="仿宋" w:cs="仿宋"/>
                <w:i w:val="0"/>
                <w:iCs w:val="0"/>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en-US" w:eastAsia="zh-CN" w:bidi="ar-SA"/>
              </w:rPr>
              <w:t>分。</w:t>
            </w:r>
            <w:r>
              <w:rPr>
                <w:rFonts w:hint="eastAsia" w:ascii="仿宋" w:hAnsi="仿宋" w:eastAsia="仿宋" w:cs="仿宋"/>
                <w:color w:val="auto"/>
                <w:sz w:val="24"/>
                <w:szCs w:val="24"/>
                <w:highlight w:val="none"/>
              </w:rPr>
              <w:t>注：提供</w:t>
            </w:r>
            <w:r>
              <w:rPr>
                <w:rFonts w:hint="eastAsia" w:ascii="仿宋" w:hAnsi="仿宋" w:eastAsia="仿宋" w:cs="仿宋"/>
                <w:color w:val="auto"/>
                <w:sz w:val="24"/>
                <w:szCs w:val="24"/>
                <w:highlight w:val="none"/>
                <w:lang w:val="en-US" w:eastAsia="zh-CN"/>
              </w:rPr>
              <w:t>证明材料。</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kern w:val="2"/>
                <w:sz w:val="24"/>
                <w:szCs w:val="24"/>
                <w:highlight w:val="none"/>
                <w:lang w:val="en-US" w:eastAsia="zh-CN" w:bidi="ar-SA"/>
              </w:rPr>
              <w:t>（4）委派</w:t>
            </w:r>
            <w:r>
              <w:rPr>
                <w:rFonts w:hint="eastAsia" w:ascii="仿宋" w:hAnsi="仿宋" w:eastAsia="仿宋" w:cs="仿宋"/>
                <w:color w:val="auto"/>
                <w:sz w:val="24"/>
                <w:szCs w:val="24"/>
                <w:highlight w:val="none"/>
              </w:rPr>
              <w:t>律师团队平均执业经历在</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以上</w:t>
            </w:r>
            <w:r>
              <w:rPr>
                <w:rFonts w:hint="eastAsia" w:ascii="仿宋" w:hAnsi="仿宋" w:eastAsia="仿宋" w:cs="仿宋"/>
                <w:color w:val="auto"/>
                <w:sz w:val="24"/>
                <w:szCs w:val="24"/>
                <w:highlight w:val="none"/>
                <w:lang w:val="en-US" w:eastAsia="zh-CN"/>
              </w:rPr>
              <w:t>的得3分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rPr>
              <w:t>以上执业经历</w:t>
            </w:r>
            <w:r>
              <w:rPr>
                <w:rFonts w:hint="eastAsia" w:ascii="仿宋" w:hAnsi="仿宋" w:eastAsia="仿宋" w:cs="仿宋"/>
                <w:color w:val="auto"/>
                <w:sz w:val="24"/>
                <w:szCs w:val="24"/>
                <w:highlight w:val="none"/>
                <w:lang w:val="en-US" w:eastAsia="zh-CN"/>
              </w:rPr>
              <w:t>的得1分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以下不得分</w:t>
            </w:r>
            <w:r>
              <w:rPr>
                <w:rFonts w:hint="eastAsia" w:ascii="仿宋" w:hAnsi="仿宋" w:eastAsia="仿宋" w:cs="仿宋"/>
                <w:color w:val="auto"/>
                <w:kern w:val="2"/>
                <w:sz w:val="24"/>
                <w:szCs w:val="24"/>
                <w:highlight w:val="none"/>
                <w:lang w:val="en-US" w:eastAsia="zh-CN" w:bidi="ar-SA"/>
              </w:rPr>
              <w:t>。本项满分3分。</w:t>
            </w:r>
            <w:r>
              <w:rPr>
                <w:rFonts w:hint="eastAsia" w:ascii="仿宋" w:hAnsi="仿宋" w:eastAsia="仿宋" w:cs="仿宋"/>
                <w:color w:val="auto"/>
                <w:sz w:val="24"/>
                <w:szCs w:val="24"/>
                <w:highlight w:val="none"/>
              </w:rPr>
              <w:t>注：提供</w:t>
            </w:r>
            <w:r>
              <w:rPr>
                <w:rFonts w:hint="eastAsia" w:ascii="仿宋" w:hAnsi="仿宋" w:eastAsia="仿宋" w:cs="仿宋"/>
                <w:color w:val="auto"/>
                <w:sz w:val="24"/>
                <w:szCs w:val="24"/>
                <w:highlight w:val="none"/>
                <w:lang w:val="en-US" w:eastAsia="zh-CN"/>
              </w:rPr>
              <w:t>证明材料。</w:t>
            </w:r>
          </w:p>
          <w:p w14:paraId="2B2A86E4">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近5年内团队成员每提供1份公司合并重组、清算注销、投资尽调等公司法专项法律服务的得2分。本项满分10分。注：提供相关业绩证明材料。</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szCs w:val="24"/>
                <w:highlight w:val="none"/>
                <w:lang w:val="en-US" w:eastAsia="zh-CN"/>
              </w:rPr>
              <w:t>近</w:t>
            </w:r>
            <w:r>
              <w:rPr>
                <w:rFonts w:hint="eastAsia" w:ascii="仿宋" w:hAnsi="仿宋" w:eastAsia="仿宋" w:cs="仿宋"/>
                <w:color w:val="auto"/>
                <w:sz w:val="24"/>
                <w:szCs w:val="24"/>
                <w:highlight w:val="none"/>
              </w:rPr>
              <w:t>5年内团队成员中作为企业代理律师，每代理过1家</w:t>
            </w:r>
            <w:r>
              <w:rPr>
                <w:rFonts w:hint="eastAsia" w:ascii="仿宋" w:hAnsi="仿宋" w:eastAsia="仿宋" w:cs="仿宋"/>
                <w:color w:val="auto"/>
                <w:sz w:val="24"/>
                <w:szCs w:val="24"/>
                <w:highlight w:val="none"/>
                <w:lang w:val="en-US" w:eastAsia="zh-CN"/>
              </w:rPr>
              <w:t>安徽省内</w:t>
            </w:r>
            <w:r>
              <w:rPr>
                <w:rFonts w:hint="eastAsia" w:ascii="仿宋" w:hAnsi="仿宋" w:eastAsia="仿宋" w:cs="仿宋"/>
                <w:color w:val="auto"/>
                <w:sz w:val="24"/>
                <w:szCs w:val="24"/>
                <w:highlight w:val="none"/>
              </w:rPr>
              <w:t>劳动人事争议仲裁或诉讼案件的得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分，本项满分</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分。注：提供服务业绩合同、仲裁结果、判决书证明材料</w:t>
            </w:r>
            <w:r>
              <w:rPr>
                <w:rFonts w:hint="eastAsia" w:ascii="仿宋" w:hAnsi="仿宋" w:eastAsia="仿宋" w:cs="仿宋"/>
                <w:color w:val="auto"/>
                <w:sz w:val="24"/>
                <w:szCs w:val="24"/>
                <w:highlight w:val="none"/>
                <w:lang w:eastAsia="zh-CN"/>
              </w:rPr>
              <w:t>。</w:t>
            </w:r>
          </w:p>
          <w:p w14:paraId="33710EF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color w:val="auto"/>
                <w:sz w:val="24"/>
                <w:szCs w:val="24"/>
                <w:highlight w:val="none"/>
                <w:lang w:val="en-US" w:eastAsia="zh-CN"/>
              </w:rPr>
            </w:pPr>
          </w:p>
          <w:p w14:paraId="736C952F">
            <w:pPr>
              <w:pStyle w:val="19"/>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 w:hAnsi="仿宋" w:eastAsia="仿宋" w:cs="仿宋"/>
                <w:sz w:val="24"/>
                <w:szCs w:val="24"/>
                <w:lang w:val="en-US"/>
              </w:rPr>
            </w:pP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14:paraId="5EC4804E">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r>
      <w:tr w14:paraId="6076D29C">
        <w:tblPrEx>
          <w:tblCellMar>
            <w:top w:w="0" w:type="dxa"/>
            <w:left w:w="10" w:type="dxa"/>
            <w:bottom w:w="0" w:type="dxa"/>
            <w:right w:w="10" w:type="dxa"/>
          </w:tblCellMar>
        </w:tblPrEx>
        <w:trPr>
          <w:trHeight w:val="3013" w:hRule="exact"/>
          <w:jc w:val="center"/>
        </w:trPr>
        <w:tc>
          <w:tcPr>
            <w:tcW w:w="1289" w:type="dxa"/>
            <w:vMerge w:val="restart"/>
            <w:tcBorders>
              <w:top w:val="single" w:color="auto" w:sz="4" w:space="0"/>
              <w:left w:val="single" w:color="auto" w:sz="4" w:space="0"/>
              <w:right w:val="single" w:color="auto" w:sz="4" w:space="0"/>
            </w:tcBorders>
            <w:shd w:val="clear" w:color="auto" w:fill="FFFFFF"/>
            <w:vAlign w:val="center"/>
          </w:tcPr>
          <w:p w14:paraId="62E25894">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服务报价</w:t>
            </w:r>
          </w:p>
          <w:p w14:paraId="570CF13D">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35</w:t>
            </w:r>
            <w:r>
              <w:rPr>
                <w:rFonts w:hint="eastAsia" w:ascii="仿宋" w:hAnsi="仿宋" w:eastAsia="仿宋" w:cs="仿宋"/>
                <w:sz w:val="24"/>
                <w:szCs w:val="24"/>
                <w:lang w:eastAsia="zh-CN"/>
              </w:rPr>
              <w:t>分）</w:t>
            </w:r>
          </w:p>
          <w:p w14:paraId="4CEE51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20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4B15BD6">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全程服务报价</w:t>
            </w:r>
          </w:p>
          <w:p w14:paraId="4B26688A">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r>
              <w:rPr>
                <w:rFonts w:hint="eastAsia" w:ascii="仿宋" w:hAnsi="仿宋" w:eastAsia="仿宋" w:cs="仿宋"/>
                <w:sz w:val="24"/>
                <w:szCs w:val="24"/>
                <w:lang w:eastAsia="zh-CN"/>
              </w:rPr>
              <w:t>分</w:t>
            </w:r>
            <w:r>
              <w:rPr>
                <w:rFonts w:hint="eastAsia" w:ascii="仿宋" w:hAnsi="仿宋" w:eastAsia="仿宋" w:cs="仿宋"/>
                <w:sz w:val="24"/>
                <w:szCs w:val="24"/>
                <w:lang w:val="en-US" w:eastAsia="zh-CN"/>
              </w:rPr>
              <w:t>）</w:t>
            </w:r>
          </w:p>
        </w:tc>
        <w:tc>
          <w:tcPr>
            <w:tcW w:w="6464" w:type="dxa"/>
            <w:tcBorders>
              <w:top w:val="single" w:color="auto" w:sz="4" w:space="0"/>
              <w:left w:val="single" w:color="auto" w:sz="4" w:space="0"/>
              <w:bottom w:val="single" w:color="auto" w:sz="4" w:space="0"/>
            </w:tcBorders>
            <w:shd w:val="clear" w:color="auto" w:fill="FFFFFF"/>
            <w:vAlign w:val="center"/>
          </w:tcPr>
          <w:p w14:paraId="54C511D3">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1</w:t>
            </w:r>
            <w:r>
              <w:rPr>
                <w:rFonts w:hint="eastAsia" w:ascii="仿宋" w:hAnsi="仿宋" w:eastAsia="仿宋" w:cs="仿宋"/>
                <w:sz w:val="24"/>
                <w:szCs w:val="24"/>
              </w:rPr>
              <w:t>）评标基准价的确定：</w:t>
            </w:r>
          </w:p>
          <w:p w14:paraId="718BAFAA">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评标</w:t>
            </w:r>
            <w:r>
              <w:rPr>
                <w:rFonts w:hint="eastAsia" w:ascii="仿宋" w:hAnsi="仿宋" w:eastAsia="仿宋" w:cs="仿宋"/>
                <w:sz w:val="24"/>
                <w:szCs w:val="24"/>
                <w:lang w:eastAsia="zh-CN"/>
              </w:rPr>
              <w:t>基准价=</w:t>
            </w:r>
            <w:r>
              <w:rPr>
                <w:rFonts w:hint="eastAsia" w:ascii="仿宋" w:hAnsi="仿宋" w:eastAsia="仿宋" w:cs="仿宋"/>
                <w:sz w:val="24"/>
                <w:szCs w:val="24"/>
                <w:highlight w:val="none"/>
                <w:lang w:eastAsia="zh-CN"/>
              </w:rPr>
              <w:t>有效</w:t>
            </w:r>
            <w:r>
              <w:rPr>
                <w:rFonts w:hint="eastAsia" w:ascii="仿宋" w:hAnsi="仿宋" w:eastAsia="仿宋" w:cs="仿宋"/>
                <w:sz w:val="24"/>
                <w:szCs w:val="24"/>
                <w:highlight w:val="none"/>
                <w:lang w:val="en-US" w:eastAsia="zh-CN"/>
              </w:rPr>
              <w:t>报价的</w:t>
            </w:r>
            <w:r>
              <w:rPr>
                <w:rFonts w:hint="eastAsia" w:ascii="仿宋" w:hAnsi="仿宋" w:eastAsia="仿宋" w:cs="仿宋"/>
                <w:b/>
                <w:bCs/>
                <w:sz w:val="24"/>
                <w:szCs w:val="24"/>
                <w:highlight w:val="none"/>
                <w:lang w:val="en-US" w:eastAsia="zh-CN"/>
              </w:rPr>
              <w:t>平均值</w:t>
            </w:r>
          </w:p>
          <w:p w14:paraId="620FB869">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2</w:t>
            </w:r>
            <w:r>
              <w:rPr>
                <w:rFonts w:hint="eastAsia" w:ascii="仿宋" w:hAnsi="仿宋" w:eastAsia="仿宋" w:cs="仿宋"/>
                <w:sz w:val="24"/>
                <w:szCs w:val="24"/>
              </w:rPr>
              <w:t>）评标价的偏差率计算公式：</w:t>
            </w:r>
          </w:p>
          <w:p w14:paraId="7B8F5ADE">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偏差率=100%×（投标人的</w:t>
            </w:r>
            <w:r>
              <w:rPr>
                <w:rFonts w:hint="eastAsia" w:ascii="仿宋" w:hAnsi="仿宋" w:eastAsia="仿宋" w:cs="仿宋"/>
                <w:sz w:val="24"/>
                <w:szCs w:val="24"/>
                <w:lang w:eastAsia="zh-CN"/>
              </w:rPr>
              <w:t>有效</w:t>
            </w:r>
            <w:r>
              <w:rPr>
                <w:rFonts w:hint="eastAsia" w:ascii="仿宋" w:hAnsi="仿宋" w:eastAsia="仿宋" w:cs="仿宋"/>
                <w:sz w:val="24"/>
                <w:szCs w:val="24"/>
              </w:rPr>
              <w:t>报价-评标基准价）/评标基准价</w:t>
            </w:r>
          </w:p>
          <w:p w14:paraId="5E385E9F">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3</w:t>
            </w:r>
            <w:r>
              <w:rPr>
                <w:rFonts w:hint="eastAsia" w:ascii="仿宋" w:hAnsi="仿宋" w:eastAsia="仿宋" w:cs="仿宋"/>
                <w:sz w:val="24"/>
                <w:szCs w:val="24"/>
              </w:rPr>
              <w:t>）报价得分计算方式：</w:t>
            </w:r>
          </w:p>
          <w:p w14:paraId="34979035">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bookmarkStart w:id="41" w:name="OLE_LINK19"/>
            <w:r>
              <w:rPr>
                <w:rFonts w:hint="eastAsia" w:ascii="仿宋" w:hAnsi="仿宋" w:eastAsia="仿宋" w:cs="仿宋"/>
                <w:sz w:val="24"/>
                <w:szCs w:val="24"/>
              </w:rPr>
              <w:t>有效投标人报价每</w:t>
            </w:r>
            <w:r>
              <w:rPr>
                <w:rFonts w:hint="eastAsia" w:ascii="仿宋" w:hAnsi="仿宋" w:eastAsia="仿宋" w:cs="仿宋"/>
                <w:sz w:val="24"/>
                <w:szCs w:val="24"/>
                <w:lang w:val="en-US" w:eastAsia="zh-CN"/>
              </w:rPr>
              <w:t>低</w:t>
            </w:r>
            <w:r>
              <w:rPr>
                <w:rFonts w:hint="eastAsia" w:ascii="仿宋" w:hAnsi="仿宋" w:eastAsia="仿宋" w:cs="仿宋"/>
                <w:sz w:val="24"/>
                <w:szCs w:val="24"/>
              </w:rPr>
              <w:t>出评标基准价</w:t>
            </w:r>
            <w:r>
              <w:rPr>
                <w:rFonts w:hint="eastAsia" w:ascii="仿宋" w:hAnsi="仿宋" w:eastAsia="仿宋" w:cs="仿宋"/>
                <w:sz w:val="24"/>
                <w:szCs w:val="24"/>
                <w:lang w:eastAsia="zh-CN"/>
              </w:rPr>
              <w:t>1个百分点扣0.05分，</w:t>
            </w:r>
            <w:bookmarkEnd w:id="41"/>
            <w:r>
              <w:rPr>
                <w:rFonts w:hint="eastAsia" w:ascii="仿宋" w:hAnsi="仿宋" w:eastAsia="仿宋" w:cs="仿宋"/>
                <w:sz w:val="24"/>
                <w:szCs w:val="24"/>
              </w:rPr>
              <w:t>有效投标人报价每</w:t>
            </w:r>
            <w:r>
              <w:rPr>
                <w:rFonts w:hint="eastAsia" w:ascii="仿宋" w:hAnsi="仿宋" w:eastAsia="仿宋" w:cs="仿宋"/>
                <w:sz w:val="24"/>
                <w:szCs w:val="24"/>
                <w:lang w:val="en-US" w:eastAsia="zh-CN"/>
              </w:rPr>
              <w:t>低</w:t>
            </w:r>
            <w:r>
              <w:rPr>
                <w:rFonts w:hint="eastAsia" w:ascii="仿宋" w:hAnsi="仿宋" w:eastAsia="仿宋" w:cs="仿宋"/>
                <w:sz w:val="24"/>
                <w:szCs w:val="24"/>
              </w:rPr>
              <w:t>出评标基准价</w:t>
            </w:r>
            <w:r>
              <w:rPr>
                <w:rFonts w:hint="eastAsia" w:ascii="仿宋" w:hAnsi="仿宋" w:eastAsia="仿宋" w:cs="仿宋"/>
                <w:sz w:val="24"/>
                <w:szCs w:val="24"/>
                <w:lang w:eastAsia="zh-CN"/>
              </w:rPr>
              <w:t>1个百分点扣0.</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分，</w:t>
            </w:r>
            <w:r>
              <w:rPr>
                <w:rFonts w:hint="eastAsia" w:ascii="仿宋" w:hAnsi="仿宋" w:eastAsia="仿宋" w:cs="仿宋"/>
                <w:sz w:val="24"/>
                <w:szCs w:val="24"/>
              </w:rPr>
              <w:t>得分扣完为止。得分保留两位小数。</w:t>
            </w:r>
          </w:p>
        </w:tc>
        <w:tc>
          <w:tcPr>
            <w:tcW w:w="994" w:type="dxa"/>
            <w:tcBorders>
              <w:top w:val="single" w:color="auto" w:sz="4" w:space="0"/>
              <w:left w:val="single" w:color="auto" w:sz="4" w:space="0"/>
              <w:right w:val="single" w:color="auto" w:sz="4" w:space="0"/>
            </w:tcBorders>
            <w:shd w:val="clear" w:color="auto" w:fill="FFFFFF"/>
            <w:vAlign w:val="center"/>
          </w:tcPr>
          <w:p w14:paraId="4B3C4A0F">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25分</w:t>
            </w:r>
          </w:p>
        </w:tc>
      </w:tr>
      <w:tr w14:paraId="3858D59A">
        <w:tblPrEx>
          <w:tblCellMar>
            <w:top w:w="0" w:type="dxa"/>
            <w:left w:w="10" w:type="dxa"/>
            <w:bottom w:w="0" w:type="dxa"/>
            <w:right w:w="10" w:type="dxa"/>
          </w:tblCellMar>
        </w:tblPrEx>
        <w:trPr>
          <w:trHeight w:val="2588" w:hRule="exact"/>
          <w:jc w:val="center"/>
        </w:trPr>
        <w:tc>
          <w:tcPr>
            <w:tcW w:w="1289" w:type="dxa"/>
            <w:vMerge w:val="continue"/>
            <w:tcBorders>
              <w:left w:val="single" w:color="auto" w:sz="4" w:space="0"/>
              <w:right w:val="single" w:color="auto" w:sz="4" w:space="0"/>
            </w:tcBorders>
            <w:shd w:val="clear" w:color="auto" w:fill="FFFFFF"/>
            <w:vAlign w:val="center"/>
          </w:tcPr>
          <w:p w14:paraId="48032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p>
        </w:tc>
        <w:tc>
          <w:tcPr>
            <w:tcW w:w="120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CF2A53">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劳动仲裁、一审、二审折扣率</w:t>
            </w:r>
          </w:p>
          <w:p w14:paraId="77DEF993">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分</w:t>
            </w:r>
            <w:r>
              <w:rPr>
                <w:rFonts w:hint="eastAsia" w:ascii="仿宋" w:hAnsi="仿宋" w:eastAsia="仿宋" w:cs="仿宋"/>
                <w:sz w:val="24"/>
                <w:szCs w:val="24"/>
                <w:lang w:val="en-US" w:eastAsia="zh-CN"/>
              </w:rPr>
              <w:t>）</w:t>
            </w:r>
          </w:p>
        </w:tc>
        <w:tc>
          <w:tcPr>
            <w:tcW w:w="6464" w:type="dxa"/>
            <w:tcBorders>
              <w:top w:val="single" w:color="auto" w:sz="4" w:space="0"/>
              <w:left w:val="single" w:color="auto" w:sz="4" w:space="0"/>
              <w:bottom w:val="single" w:color="auto" w:sz="4" w:space="0"/>
            </w:tcBorders>
            <w:shd w:val="clear" w:color="auto" w:fill="FFFFFF"/>
            <w:vAlign w:val="center"/>
          </w:tcPr>
          <w:p w14:paraId="6FBA51BE">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1</w:t>
            </w:r>
            <w:r>
              <w:rPr>
                <w:rFonts w:hint="eastAsia" w:ascii="仿宋" w:hAnsi="仿宋" w:eastAsia="仿宋" w:cs="仿宋"/>
                <w:sz w:val="24"/>
                <w:szCs w:val="24"/>
              </w:rPr>
              <w:t>）评标基准</w:t>
            </w:r>
            <w:r>
              <w:rPr>
                <w:rFonts w:hint="eastAsia" w:ascii="仿宋" w:hAnsi="仿宋" w:eastAsia="仿宋" w:cs="仿宋"/>
                <w:sz w:val="24"/>
                <w:szCs w:val="24"/>
                <w:lang w:val="en-US" w:eastAsia="zh-CN"/>
              </w:rPr>
              <w:t>折扣率</w:t>
            </w:r>
            <w:r>
              <w:rPr>
                <w:rFonts w:hint="eastAsia" w:ascii="仿宋" w:hAnsi="仿宋" w:eastAsia="仿宋" w:cs="仿宋"/>
                <w:sz w:val="24"/>
                <w:szCs w:val="24"/>
              </w:rPr>
              <w:t>的确定：</w:t>
            </w:r>
          </w:p>
          <w:p w14:paraId="1F19D077">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评标</w:t>
            </w:r>
            <w:r>
              <w:rPr>
                <w:rFonts w:hint="eastAsia" w:ascii="仿宋" w:hAnsi="仿宋" w:eastAsia="仿宋" w:cs="仿宋"/>
                <w:sz w:val="24"/>
                <w:szCs w:val="24"/>
                <w:lang w:eastAsia="zh-CN"/>
              </w:rPr>
              <w:t>基准</w:t>
            </w:r>
            <w:r>
              <w:rPr>
                <w:rFonts w:hint="eastAsia" w:ascii="仿宋" w:hAnsi="仿宋" w:eastAsia="仿宋" w:cs="仿宋"/>
                <w:sz w:val="24"/>
                <w:szCs w:val="24"/>
                <w:lang w:val="en-US" w:eastAsia="zh-CN"/>
              </w:rPr>
              <w:t>折扣率</w:t>
            </w:r>
            <w:r>
              <w:rPr>
                <w:rFonts w:hint="eastAsia" w:ascii="仿宋" w:hAnsi="仿宋" w:eastAsia="仿宋" w:cs="仿宋"/>
                <w:sz w:val="24"/>
                <w:szCs w:val="24"/>
                <w:lang w:eastAsia="zh-CN"/>
              </w:rPr>
              <w:t>=有效最低</w:t>
            </w:r>
            <w:r>
              <w:rPr>
                <w:rFonts w:hint="eastAsia" w:ascii="仿宋" w:hAnsi="仿宋" w:eastAsia="仿宋" w:cs="仿宋"/>
                <w:sz w:val="24"/>
                <w:szCs w:val="24"/>
                <w:lang w:val="en-US" w:eastAsia="zh-CN"/>
              </w:rPr>
              <w:t>折扣率</w:t>
            </w:r>
          </w:p>
          <w:p w14:paraId="2A80D5A9">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2</w:t>
            </w:r>
            <w:r>
              <w:rPr>
                <w:rFonts w:hint="eastAsia" w:ascii="仿宋" w:hAnsi="仿宋" w:eastAsia="仿宋" w:cs="仿宋"/>
                <w:sz w:val="24"/>
                <w:szCs w:val="24"/>
              </w:rPr>
              <w:t>）评标</w:t>
            </w:r>
            <w:r>
              <w:rPr>
                <w:rFonts w:hint="eastAsia" w:ascii="仿宋" w:hAnsi="仿宋" w:eastAsia="仿宋" w:cs="仿宋"/>
                <w:sz w:val="24"/>
                <w:szCs w:val="24"/>
                <w:lang w:val="en-US" w:eastAsia="zh-CN"/>
              </w:rPr>
              <w:t>折扣</w:t>
            </w:r>
            <w:r>
              <w:rPr>
                <w:rFonts w:hint="eastAsia" w:ascii="仿宋" w:hAnsi="仿宋" w:eastAsia="仿宋" w:cs="仿宋"/>
                <w:sz w:val="24"/>
                <w:szCs w:val="24"/>
              </w:rPr>
              <w:t>的偏差率计算公式：</w:t>
            </w:r>
          </w:p>
          <w:p w14:paraId="5773080C">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偏差率=100%×（投标人的</w:t>
            </w:r>
            <w:r>
              <w:rPr>
                <w:rFonts w:hint="eastAsia" w:ascii="仿宋" w:hAnsi="仿宋" w:eastAsia="仿宋" w:cs="仿宋"/>
                <w:sz w:val="24"/>
                <w:szCs w:val="24"/>
                <w:lang w:eastAsia="zh-CN"/>
              </w:rPr>
              <w:t>有效</w:t>
            </w:r>
            <w:r>
              <w:rPr>
                <w:rFonts w:hint="eastAsia" w:ascii="仿宋" w:hAnsi="仿宋" w:eastAsia="仿宋" w:cs="仿宋"/>
                <w:sz w:val="24"/>
                <w:szCs w:val="24"/>
                <w:lang w:val="en-US" w:eastAsia="zh-CN"/>
              </w:rPr>
              <w:t>折扣率</w:t>
            </w:r>
            <w:r>
              <w:rPr>
                <w:rFonts w:hint="eastAsia" w:ascii="仿宋" w:hAnsi="仿宋" w:eastAsia="仿宋" w:cs="仿宋"/>
                <w:sz w:val="24"/>
                <w:szCs w:val="24"/>
              </w:rPr>
              <w:t>-评标基准</w:t>
            </w:r>
            <w:r>
              <w:rPr>
                <w:rFonts w:hint="eastAsia" w:ascii="仿宋" w:hAnsi="仿宋" w:eastAsia="仿宋" w:cs="仿宋"/>
                <w:sz w:val="24"/>
                <w:szCs w:val="24"/>
                <w:lang w:val="en-US" w:eastAsia="zh-CN"/>
              </w:rPr>
              <w:t>折扣率</w:t>
            </w:r>
            <w:r>
              <w:rPr>
                <w:rFonts w:hint="eastAsia" w:ascii="仿宋" w:hAnsi="仿宋" w:eastAsia="仿宋" w:cs="仿宋"/>
                <w:sz w:val="24"/>
                <w:szCs w:val="24"/>
              </w:rPr>
              <w:t>）/评标基准</w:t>
            </w:r>
            <w:r>
              <w:rPr>
                <w:rFonts w:hint="eastAsia" w:ascii="仿宋" w:hAnsi="仿宋" w:eastAsia="仿宋" w:cs="仿宋"/>
                <w:sz w:val="24"/>
                <w:szCs w:val="24"/>
                <w:lang w:val="en-US" w:eastAsia="zh-CN"/>
              </w:rPr>
              <w:t>折扣率</w:t>
            </w:r>
          </w:p>
          <w:p w14:paraId="49C74483">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3</w:t>
            </w:r>
            <w:r>
              <w:rPr>
                <w:rFonts w:hint="eastAsia" w:ascii="仿宋" w:hAnsi="仿宋" w:eastAsia="仿宋" w:cs="仿宋"/>
                <w:sz w:val="24"/>
                <w:szCs w:val="24"/>
              </w:rPr>
              <w:t>）报价得分计算方式：</w:t>
            </w:r>
          </w:p>
          <w:p w14:paraId="1CC70380">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有效投标人报价每高出评标基准价</w:t>
            </w:r>
            <w:r>
              <w:rPr>
                <w:rFonts w:hint="eastAsia" w:ascii="仿宋" w:hAnsi="仿宋" w:eastAsia="仿宋" w:cs="仿宋"/>
                <w:sz w:val="24"/>
                <w:szCs w:val="24"/>
                <w:lang w:eastAsia="zh-CN"/>
              </w:rPr>
              <w:t>1个百分点扣0.05分，</w:t>
            </w:r>
            <w:r>
              <w:rPr>
                <w:rFonts w:hint="eastAsia" w:ascii="仿宋" w:hAnsi="仿宋" w:eastAsia="仿宋" w:cs="仿宋"/>
                <w:sz w:val="24"/>
                <w:szCs w:val="24"/>
              </w:rPr>
              <w:t>得分扣完为止。得分保留两位小数。</w:t>
            </w:r>
          </w:p>
        </w:tc>
        <w:tc>
          <w:tcPr>
            <w:tcW w:w="994" w:type="dxa"/>
            <w:tcBorders>
              <w:top w:val="single" w:color="auto" w:sz="4" w:space="0"/>
              <w:left w:val="single" w:color="auto" w:sz="4" w:space="0"/>
              <w:right w:val="single" w:color="auto" w:sz="4" w:space="0"/>
            </w:tcBorders>
            <w:shd w:val="clear" w:color="auto" w:fill="FFFFFF"/>
            <w:vAlign w:val="center"/>
          </w:tcPr>
          <w:p w14:paraId="20193CE1">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r>
      <w:tr w14:paraId="09091C51">
        <w:tblPrEx>
          <w:tblCellMar>
            <w:top w:w="0" w:type="dxa"/>
            <w:left w:w="10" w:type="dxa"/>
            <w:bottom w:w="0" w:type="dxa"/>
            <w:right w:w="10" w:type="dxa"/>
          </w:tblCellMar>
        </w:tblPrEx>
        <w:trPr>
          <w:trHeight w:val="3065" w:hRule="exact"/>
          <w:jc w:val="center"/>
        </w:trPr>
        <w:tc>
          <w:tcPr>
            <w:tcW w:w="1289" w:type="dxa"/>
            <w:tcBorders>
              <w:top w:val="single" w:color="auto" w:sz="4" w:space="0"/>
              <w:left w:val="single" w:color="auto" w:sz="4" w:space="0"/>
              <w:bottom w:val="single" w:color="auto" w:sz="4" w:space="0"/>
              <w:right w:val="single" w:color="auto" w:sz="4" w:space="0"/>
            </w:tcBorders>
            <w:shd w:val="clear" w:color="auto" w:fill="FFFFFF"/>
            <w:vAlign w:val="center"/>
          </w:tcPr>
          <w:p w14:paraId="5F89D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4"/>
                <w:szCs w:val="24"/>
                <w:lang w:val="zh-TW" w:bidi="zh-TW"/>
              </w:rPr>
            </w:pPr>
            <w:r>
              <w:rPr>
                <w:rFonts w:hint="eastAsia" w:ascii="仿宋" w:hAnsi="仿宋" w:eastAsia="仿宋" w:cs="仿宋"/>
                <w:kern w:val="0"/>
                <w:sz w:val="24"/>
                <w:szCs w:val="24"/>
                <w:lang w:val="zh-TW" w:bidi="zh-TW"/>
              </w:rPr>
              <w:t>技术部分</w:t>
            </w:r>
          </w:p>
          <w:p w14:paraId="33A6862B">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分）</w:t>
            </w:r>
          </w:p>
          <w:p w14:paraId="37CA79D3">
            <w:pPr>
              <w:pStyle w:val="19"/>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仿宋" w:hAnsi="仿宋" w:eastAsia="仿宋" w:cs="仿宋"/>
                <w:sz w:val="24"/>
                <w:szCs w:val="24"/>
                <w:lang w:val="zh-TW" w:bidi="zh-TW"/>
              </w:rPr>
            </w:pPr>
          </w:p>
        </w:tc>
        <w:tc>
          <w:tcPr>
            <w:tcW w:w="120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71B5EE">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kern w:val="0"/>
                <w:sz w:val="24"/>
                <w:szCs w:val="24"/>
                <w:lang w:val="zh-TW" w:bidi="zh-TW"/>
              </w:rPr>
            </w:pPr>
            <w:r>
              <w:rPr>
                <w:rFonts w:hint="eastAsia" w:ascii="仿宋" w:hAnsi="仿宋" w:eastAsia="仿宋" w:cs="仿宋"/>
                <w:kern w:val="0"/>
                <w:sz w:val="24"/>
                <w:szCs w:val="24"/>
                <w:lang w:val="en-US" w:eastAsia="zh-CN" w:bidi="zh-TW"/>
              </w:rPr>
              <w:t>服务</w:t>
            </w:r>
            <w:r>
              <w:rPr>
                <w:rFonts w:hint="eastAsia" w:ascii="仿宋" w:hAnsi="仿宋" w:eastAsia="仿宋" w:cs="仿宋"/>
                <w:kern w:val="0"/>
                <w:sz w:val="24"/>
                <w:szCs w:val="24"/>
                <w:lang w:val="zh-TW" w:eastAsia="zh-TW" w:bidi="zh-TW"/>
              </w:rPr>
              <w:t>方案</w:t>
            </w:r>
          </w:p>
          <w:p w14:paraId="1AF5CD1B">
            <w:pPr>
              <w:pStyle w:val="1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lang w:val="zh-TW" w:bidi="zh-TW"/>
              </w:rPr>
            </w:pPr>
            <w:r>
              <w:rPr>
                <w:rFonts w:hint="eastAsia" w:ascii="仿宋" w:hAnsi="仿宋" w:eastAsia="仿宋" w:cs="仿宋"/>
                <w:kern w:val="0"/>
                <w:sz w:val="24"/>
                <w:szCs w:val="24"/>
                <w:highlight w:val="none"/>
                <w:lang w:val="zh-TW" w:eastAsia="zh-TW" w:bidi="zh-TW"/>
              </w:rPr>
              <w:t>（</w:t>
            </w:r>
            <w:r>
              <w:rPr>
                <w:rFonts w:hint="eastAsia" w:ascii="仿宋" w:hAnsi="仿宋" w:eastAsia="仿宋" w:cs="仿宋"/>
                <w:kern w:val="0"/>
                <w:sz w:val="24"/>
                <w:szCs w:val="24"/>
                <w:highlight w:val="none"/>
                <w:lang w:val="en-US" w:eastAsia="zh-CN" w:bidi="zh-TW"/>
              </w:rPr>
              <w:t>30</w:t>
            </w:r>
            <w:r>
              <w:rPr>
                <w:rFonts w:hint="eastAsia" w:ascii="仿宋" w:hAnsi="仿宋" w:eastAsia="仿宋" w:cs="仿宋"/>
                <w:kern w:val="0"/>
                <w:sz w:val="24"/>
                <w:szCs w:val="24"/>
                <w:highlight w:val="none"/>
                <w:lang w:val="zh-TW" w:bidi="zh-TW"/>
              </w:rPr>
              <w:t>分</w:t>
            </w:r>
            <w:r>
              <w:rPr>
                <w:rFonts w:hint="eastAsia" w:ascii="仿宋" w:hAnsi="仿宋" w:eastAsia="仿宋" w:cs="仿宋"/>
                <w:kern w:val="0"/>
                <w:sz w:val="24"/>
                <w:szCs w:val="24"/>
                <w:highlight w:val="none"/>
                <w:lang w:val="zh-TW" w:eastAsia="zh-TW" w:bidi="zh-TW"/>
              </w:rPr>
              <w:t>）</w:t>
            </w:r>
          </w:p>
        </w:tc>
        <w:tc>
          <w:tcPr>
            <w:tcW w:w="6464" w:type="dxa"/>
            <w:tcBorders>
              <w:top w:val="single" w:color="auto" w:sz="4" w:space="0"/>
              <w:left w:val="single" w:color="auto" w:sz="4" w:space="0"/>
              <w:bottom w:val="single" w:color="auto" w:sz="4" w:space="0"/>
            </w:tcBorders>
            <w:shd w:val="clear" w:color="auto" w:fill="FFFFFF"/>
            <w:vAlign w:val="center"/>
          </w:tcPr>
          <w:p w14:paraId="03F1A794">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投标人就本项目出具</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rFonts w:hint="eastAsia" w:ascii="仿宋" w:hAnsi="仿宋" w:eastAsia="仿宋" w:cs="仿宋"/>
                <w:sz w:val="24"/>
                <w:szCs w:val="24"/>
                <w:lang w:eastAsia="zh-CN"/>
              </w:rPr>
              <w:t>，</w:t>
            </w:r>
            <w:r>
              <w:rPr>
                <w:rFonts w:hint="eastAsia" w:ascii="仿宋" w:hAnsi="仿宋" w:eastAsia="仿宋" w:cs="仿宋"/>
                <w:sz w:val="24"/>
                <w:szCs w:val="24"/>
              </w:rPr>
              <w:t>（项目目标、整体思路、重点难点、应对举措等），在响应文件进行阐述。</w:t>
            </w:r>
          </w:p>
          <w:p w14:paraId="1803DC4F">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1.方案充分、准确，思路清晰、合理，分析详细、针对性强的，得</w:t>
            </w:r>
            <w:r>
              <w:rPr>
                <w:rFonts w:hint="eastAsia" w:ascii="仿宋" w:hAnsi="仿宋" w:eastAsia="仿宋" w:cs="仿宋"/>
                <w:sz w:val="24"/>
                <w:szCs w:val="24"/>
                <w:lang w:val="en-US" w:eastAsia="zh-CN"/>
              </w:rPr>
              <w:t>25</w:t>
            </w:r>
            <w:r>
              <w:rPr>
                <w:rFonts w:hint="eastAsia" w:ascii="仿宋" w:hAnsi="仿宋" w:eastAsia="仿宋" w:cs="仿宋"/>
                <w:sz w:val="24"/>
                <w:szCs w:val="24"/>
              </w:rPr>
              <w:t>-</w:t>
            </w:r>
            <w:r>
              <w:rPr>
                <w:rFonts w:hint="eastAsia" w:ascii="仿宋" w:hAnsi="仿宋" w:eastAsia="仿宋" w:cs="仿宋"/>
                <w:sz w:val="24"/>
                <w:szCs w:val="24"/>
                <w:lang w:val="en-US" w:eastAsia="zh-CN"/>
              </w:rPr>
              <w:t>30</w:t>
            </w:r>
            <w:r>
              <w:rPr>
                <w:rFonts w:hint="eastAsia" w:ascii="仿宋" w:hAnsi="仿宋" w:eastAsia="仿宋" w:cs="仿宋"/>
                <w:sz w:val="24"/>
                <w:szCs w:val="24"/>
              </w:rPr>
              <w:t>分；</w:t>
            </w:r>
          </w:p>
          <w:p w14:paraId="7815DD7C">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2.方案思路较为清晰、合理，能够进行针对性分析的，得</w:t>
            </w:r>
            <w:r>
              <w:rPr>
                <w:rFonts w:hint="eastAsia" w:ascii="仿宋" w:hAnsi="仿宋" w:eastAsia="仿宋" w:cs="仿宋"/>
                <w:sz w:val="24"/>
                <w:szCs w:val="24"/>
                <w:lang w:val="en-US" w:eastAsia="zh-CN"/>
              </w:rPr>
              <w:t>15</w:t>
            </w:r>
            <w:r>
              <w:rPr>
                <w:rFonts w:hint="eastAsia" w:ascii="仿宋" w:hAnsi="仿宋" w:eastAsia="仿宋" w:cs="仿宋"/>
                <w:sz w:val="24"/>
                <w:szCs w:val="24"/>
              </w:rPr>
              <w:t>-</w:t>
            </w:r>
            <w:r>
              <w:rPr>
                <w:rFonts w:hint="eastAsia" w:ascii="仿宋" w:hAnsi="仿宋" w:eastAsia="仿宋" w:cs="仿宋"/>
                <w:sz w:val="24"/>
                <w:szCs w:val="24"/>
                <w:lang w:val="en-US" w:eastAsia="zh-CN"/>
              </w:rPr>
              <w:t>24</w:t>
            </w:r>
            <w:r>
              <w:rPr>
                <w:rFonts w:hint="eastAsia" w:ascii="仿宋" w:hAnsi="仿宋" w:eastAsia="仿宋" w:cs="仿宋"/>
                <w:sz w:val="24"/>
                <w:szCs w:val="24"/>
              </w:rPr>
              <w:t>分；</w:t>
            </w:r>
          </w:p>
          <w:p w14:paraId="6EC94AF1">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 w:hAnsi="仿宋" w:eastAsia="仿宋" w:cs="仿宋"/>
                <w:sz w:val="24"/>
                <w:szCs w:val="24"/>
              </w:rPr>
            </w:pPr>
            <w:r>
              <w:rPr>
                <w:rFonts w:hint="eastAsia" w:ascii="仿宋" w:hAnsi="仿宋" w:eastAsia="仿宋" w:cs="仿宋"/>
                <w:sz w:val="24"/>
                <w:szCs w:val="24"/>
              </w:rPr>
              <w:t>3.方案质量差，表述不充分，思路不够清晰，内容有所欠缺、针对性不强的，得</w:t>
            </w: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sz w:val="24"/>
                <w:szCs w:val="24"/>
                <w:lang w:val="en-US" w:eastAsia="zh-CN"/>
              </w:rPr>
              <w:t>14</w:t>
            </w:r>
            <w:r>
              <w:rPr>
                <w:rFonts w:hint="eastAsia" w:ascii="仿宋" w:hAnsi="仿宋" w:eastAsia="仿宋" w:cs="仿宋"/>
                <w:sz w:val="24"/>
                <w:szCs w:val="24"/>
              </w:rPr>
              <w:t>分</w:t>
            </w:r>
            <w:bookmarkStart w:id="42" w:name="OLE_LINK31"/>
            <w:r>
              <w:rPr>
                <w:rFonts w:hint="eastAsia" w:ascii="仿宋" w:hAnsi="仿宋" w:eastAsia="仿宋" w:cs="仿宋"/>
                <w:sz w:val="24"/>
                <w:szCs w:val="24"/>
              </w:rPr>
              <w:t>。</w:t>
            </w:r>
            <w:bookmarkEnd w:id="42"/>
          </w:p>
          <w:p w14:paraId="2CA030A3">
            <w:pPr>
              <w:pStyle w:val="31"/>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4.未提供方案的得分为0</w:t>
            </w:r>
            <w:r>
              <w:rPr>
                <w:rFonts w:hint="eastAsia" w:ascii="仿宋" w:hAnsi="仿宋" w:eastAsia="仿宋" w:cs="仿宋"/>
                <w:sz w:val="24"/>
                <w:szCs w:val="24"/>
              </w:rPr>
              <w:t>。</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14:paraId="6BBD0DE9">
            <w:pPr>
              <w:pStyle w:val="31"/>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30分</w:t>
            </w:r>
          </w:p>
        </w:tc>
      </w:tr>
      <w:bookmarkEnd w:id="40"/>
    </w:tbl>
    <w:p w14:paraId="5D361D57">
      <w:pPr>
        <w:pStyle w:val="25"/>
        <w:spacing w:line="494" w:lineRule="exact"/>
        <w:ind w:left="0" w:leftChars="0" w:firstLine="562" w:firstLineChars="200"/>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注意：未按规定提供证明材料或无法证明的不得分。</w:t>
      </w:r>
    </w:p>
    <w:p w14:paraId="02E85E5B">
      <w:pPr>
        <w:pStyle w:val="25"/>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四、得分排名规则和中标人确定</w:t>
      </w:r>
    </w:p>
    <w:p w14:paraId="107D0A01">
      <w:pPr>
        <w:pStyle w:val="25"/>
        <w:keepNext w:val="0"/>
        <w:keepLines w:val="0"/>
        <w:pageBreakBefore w:val="0"/>
        <w:widowControl w:val="0"/>
        <w:tabs>
          <w:tab w:val="left" w:pos="1619"/>
        </w:tabs>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sz w:val="28"/>
          <w:szCs w:val="28"/>
        </w:rPr>
      </w:pPr>
      <w:bookmarkStart w:id="43" w:name="bookmark86"/>
      <w:r>
        <w:rPr>
          <w:rFonts w:hint="eastAsia" w:ascii="仿宋" w:hAnsi="仿宋" w:eastAsia="仿宋" w:cs="仿宋"/>
          <w:sz w:val="28"/>
          <w:szCs w:val="28"/>
        </w:rPr>
        <w:t>1</w:t>
      </w:r>
      <w:bookmarkEnd w:id="43"/>
      <w:r>
        <w:rPr>
          <w:rFonts w:hint="eastAsia" w:ascii="仿宋" w:hAnsi="仿宋" w:eastAsia="仿宋" w:cs="仿宋"/>
          <w:sz w:val="28"/>
          <w:szCs w:val="28"/>
        </w:rPr>
        <w:t>、投标人的综合得分为商务部分、报价得分、</w:t>
      </w:r>
      <w:r>
        <w:rPr>
          <w:rFonts w:hint="eastAsia" w:ascii="仿宋" w:hAnsi="仿宋" w:eastAsia="仿宋" w:cs="仿宋"/>
          <w:sz w:val="28"/>
          <w:szCs w:val="28"/>
          <w:lang w:eastAsia="zh-CN"/>
        </w:rPr>
        <w:t>技术部分三项</w:t>
      </w:r>
      <w:r>
        <w:rPr>
          <w:rFonts w:hint="eastAsia" w:ascii="仿宋" w:hAnsi="仿宋" w:eastAsia="仿宋" w:cs="仿宋"/>
          <w:sz w:val="28"/>
          <w:szCs w:val="28"/>
        </w:rPr>
        <w:t>得分之和（取两位有效数字，第三位四舍五入），按照综合得分由高到低的顺序排名。</w:t>
      </w:r>
    </w:p>
    <w:p w14:paraId="185A6CA5">
      <w:pPr>
        <w:pStyle w:val="25"/>
        <w:keepNext w:val="0"/>
        <w:keepLines w:val="0"/>
        <w:pageBreakBefore w:val="0"/>
        <w:widowControl w:val="0"/>
        <w:tabs>
          <w:tab w:val="left" w:pos="1619"/>
        </w:tabs>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sz w:val="28"/>
          <w:szCs w:val="28"/>
        </w:rPr>
      </w:pPr>
      <w:bookmarkStart w:id="44" w:name="bookmark87"/>
      <w:r>
        <w:rPr>
          <w:rFonts w:hint="eastAsia" w:ascii="仿宋" w:hAnsi="仿宋" w:eastAsia="仿宋" w:cs="仿宋"/>
          <w:sz w:val="28"/>
          <w:szCs w:val="28"/>
        </w:rPr>
        <w:t>2</w:t>
      </w:r>
      <w:bookmarkEnd w:id="44"/>
      <w:r>
        <w:rPr>
          <w:rFonts w:hint="eastAsia" w:ascii="仿宋" w:hAnsi="仿宋" w:eastAsia="仿宋" w:cs="仿宋"/>
          <w:sz w:val="28"/>
          <w:szCs w:val="28"/>
        </w:rPr>
        <w:t>、评标委员会按综合得分由高到低顺序推荐1名中标候选人，综合得分相同时，评标委员会依次按照以下优先顺序推荐中标候选人：</w:t>
      </w:r>
    </w:p>
    <w:p w14:paraId="72BD9EF3">
      <w:pPr>
        <w:pStyle w:val="25"/>
        <w:keepNext w:val="0"/>
        <w:keepLines w:val="0"/>
        <w:pageBreakBefore w:val="0"/>
        <w:widowControl w:val="0"/>
        <w:tabs>
          <w:tab w:val="left" w:pos="1950"/>
        </w:tabs>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sz w:val="28"/>
          <w:szCs w:val="28"/>
        </w:rPr>
      </w:pPr>
      <w:bookmarkStart w:id="45" w:name="bookmark88"/>
      <w:r>
        <w:rPr>
          <w:rFonts w:hint="eastAsia" w:ascii="仿宋" w:hAnsi="仿宋" w:eastAsia="仿宋" w:cs="仿宋"/>
          <w:sz w:val="28"/>
          <w:szCs w:val="28"/>
        </w:rPr>
        <w:t>（</w:t>
      </w:r>
      <w:bookmarkEnd w:id="45"/>
      <w:r>
        <w:rPr>
          <w:rFonts w:hint="eastAsia" w:ascii="仿宋" w:hAnsi="仿宋" w:eastAsia="仿宋" w:cs="仿宋"/>
          <w:sz w:val="28"/>
          <w:szCs w:val="28"/>
        </w:rPr>
        <w:t>1）投标报价较低的投标人优先；</w:t>
      </w:r>
    </w:p>
    <w:p w14:paraId="1C14727D">
      <w:pPr>
        <w:pStyle w:val="25"/>
        <w:keepNext w:val="0"/>
        <w:keepLines w:val="0"/>
        <w:pageBreakBefore w:val="0"/>
        <w:widowControl w:val="0"/>
        <w:tabs>
          <w:tab w:val="left" w:pos="1958"/>
        </w:tabs>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sz w:val="28"/>
          <w:szCs w:val="28"/>
          <w:lang w:eastAsia="zh-CN"/>
        </w:rPr>
      </w:pPr>
      <w:bookmarkStart w:id="46" w:name="bookmark89"/>
      <w:r>
        <w:rPr>
          <w:rFonts w:hint="eastAsia" w:ascii="仿宋" w:hAnsi="仿宋" w:eastAsia="仿宋" w:cs="仿宋"/>
          <w:sz w:val="28"/>
          <w:szCs w:val="28"/>
        </w:rPr>
        <w:t>（</w:t>
      </w:r>
      <w:bookmarkEnd w:id="46"/>
      <w:r>
        <w:rPr>
          <w:rFonts w:hint="eastAsia" w:ascii="仿宋" w:hAnsi="仿宋" w:eastAsia="仿宋" w:cs="仿宋"/>
          <w:sz w:val="28"/>
          <w:szCs w:val="28"/>
        </w:rPr>
        <w:t>2）投标报价相同时，由</w:t>
      </w:r>
      <w:r>
        <w:rPr>
          <w:rFonts w:hint="eastAsia" w:ascii="仿宋" w:hAnsi="仿宋" w:eastAsia="仿宋" w:cs="仿宋"/>
          <w:sz w:val="28"/>
          <w:szCs w:val="28"/>
          <w:lang w:eastAsia="zh-CN"/>
        </w:rPr>
        <w:t>技术部分</w:t>
      </w:r>
      <w:r>
        <w:rPr>
          <w:rFonts w:hint="eastAsia" w:ascii="仿宋" w:hAnsi="仿宋" w:eastAsia="仿宋" w:cs="仿宋"/>
          <w:sz w:val="28"/>
          <w:szCs w:val="28"/>
        </w:rPr>
        <w:t>得分较高者优先。</w:t>
      </w:r>
    </w:p>
    <w:p w14:paraId="7807A090">
      <w:pPr>
        <w:pStyle w:val="25"/>
        <w:keepNext w:val="0"/>
        <w:keepLines w:val="0"/>
        <w:pageBreakBefore w:val="0"/>
        <w:widowControl w:val="0"/>
        <w:tabs>
          <w:tab w:val="left" w:pos="1619"/>
        </w:tabs>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 w:hAnsi="仿宋" w:eastAsia="仿宋" w:cs="仿宋"/>
          <w:sz w:val="28"/>
          <w:szCs w:val="28"/>
          <w:lang w:eastAsia="zh-CN"/>
        </w:rPr>
        <w:sectPr>
          <w:footerReference r:id="rId12" w:type="default"/>
          <w:footerReference r:id="rId13" w:type="even"/>
          <w:pgSz w:w="11900" w:h="16840"/>
          <w:pgMar w:top="2098" w:right="1531" w:bottom="2098" w:left="1531" w:header="0" w:footer="0" w:gutter="0"/>
          <w:pgNumType w:fmt="numberInDash"/>
          <w:cols w:space="720" w:num="1"/>
          <w:docGrid w:linePitch="360" w:charSpace="0"/>
        </w:sectPr>
      </w:pPr>
      <w:bookmarkStart w:id="47" w:name="bookmark90"/>
      <w:r>
        <w:rPr>
          <w:rFonts w:hint="eastAsia" w:ascii="仿宋" w:hAnsi="仿宋" w:eastAsia="仿宋" w:cs="仿宋"/>
          <w:sz w:val="28"/>
          <w:szCs w:val="28"/>
        </w:rPr>
        <w:t>3</w:t>
      </w:r>
      <w:bookmarkEnd w:id="47"/>
      <w:r>
        <w:rPr>
          <w:rFonts w:hint="eastAsia" w:ascii="仿宋" w:hAnsi="仿宋" w:eastAsia="仿宋" w:cs="仿宋"/>
          <w:sz w:val="28"/>
          <w:szCs w:val="28"/>
        </w:rPr>
        <w:t>、鉴于案情时间紧、任务重，当通过资格审查及符合性审查的家数少于3家，满足</w:t>
      </w:r>
      <w:r>
        <w:rPr>
          <w:rFonts w:hint="eastAsia" w:ascii="仿宋" w:hAnsi="仿宋" w:eastAsia="仿宋" w:cs="仿宋"/>
          <w:sz w:val="28"/>
          <w:szCs w:val="28"/>
          <w:lang w:eastAsia="zh-CN"/>
        </w:rPr>
        <w:t>2家时转谈判，以电话形式两轮报价（法定代表人或委托代理人评标时保持畅通），以报价低的为评标基准价，</w:t>
      </w:r>
      <w:r>
        <w:rPr>
          <w:rFonts w:hint="eastAsia" w:ascii="仿宋" w:hAnsi="仿宋" w:eastAsia="仿宋" w:cs="仿宋"/>
          <w:sz w:val="28"/>
          <w:szCs w:val="28"/>
        </w:rPr>
        <w:t>综合商务部分、报价得分、技术部分得分之和，由高到低的顺序排名，推荐</w:t>
      </w:r>
      <w:r>
        <w:rPr>
          <w:rFonts w:hint="eastAsia" w:ascii="仿宋" w:hAnsi="仿宋" w:eastAsia="仿宋" w:cs="仿宋"/>
          <w:sz w:val="28"/>
          <w:szCs w:val="28"/>
          <w:lang w:eastAsia="zh-CN"/>
        </w:rPr>
        <w:t>1名中标候选人。若有效投标家数只有1家，本项目流标。</w:t>
      </w:r>
    </w:p>
    <w:p w14:paraId="4D70F5FE">
      <w:pPr>
        <w:pStyle w:val="5"/>
        <w:spacing w:after="0" w:line="540" w:lineRule="exact"/>
        <w:jc w:val="center"/>
        <w:rPr>
          <w:rFonts w:ascii="方正小标宋_GBK" w:hAnsi="方正小标宋_GBK" w:eastAsia="方正小标宋_GBK" w:cs="方正小标宋_GBK"/>
          <w:kern w:val="44"/>
          <w:szCs w:val="32"/>
        </w:rPr>
      </w:pPr>
    </w:p>
    <w:p w14:paraId="6F623036">
      <w:pPr>
        <w:pStyle w:val="2"/>
        <w:keepNext w:val="0"/>
        <w:keepLines w:val="0"/>
        <w:spacing w:line="520" w:lineRule="exact"/>
        <w:jc w:val="center"/>
        <w:rPr>
          <w:rFonts w:ascii="黑体" w:hAnsi="黑体" w:eastAsia="黑体" w:cs="方正小标宋_GBK"/>
          <w:b w:val="0"/>
          <w:bCs w:val="0"/>
          <w:sz w:val="36"/>
          <w:szCs w:val="36"/>
        </w:rPr>
      </w:pPr>
      <w:bookmarkStart w:id="48" w:name="_Toc15430"/>
      <w:r>
        <w:rPr>
          <w:rFonts w:hint="eastAsia" w:ascii="黑体" w:hAnsi="黑体" w:eastAsia="黑体" w:cs="方正小标宋_GBK"/>
          <w:b w:val="0"/>
          <w:bCs w:val="0"/>
          <w:sz w:val="36"/>
          <w:szCs w:val="36"/>
        </w:rPr>
        <w:t>第四章  合同条款</w:t>
      </w:r>
      <w:bookmarkEnd w:id="48"/>
    </w:p>
    <w:p w14:paraId="120F109A">
      <w:pPr>
        <w:pStyle w:val="2"/>
        <w:keepNext w:val="0"/>
        <w:keepLines w:val="0"/>
        <w:spacing w:line="520" w:lineRule="exact"/>
        <w:jc w:val="center"/>
        <w:rPr>
          <w:rFonts w:ascii="仿宋_GB2312" w:hAnsi="黑体" w:cs="方正小标宋_GBK"/>
          <w:b w:val="0"/>
          <w:bCs/>
          <w:sz w:val="32"/>
          <w:szCs w:val="32"/>
        </w:rPr>
      </w:pPr>
      <w:r>
        <w:rPr>
          <w:rFonts w:hint="eastAsia" w:ascii="仿宋_GB2312" w:hAnsi="黑体" w:cs="方正小标宋_GBK"/>
          <w:b w:val="0"/>
          <w:bCs/>
          <w:sz w:val="32"/>
          <w:szCs w:val="32"/>
        </w:rPr>
        <w:t>（以实际签订为准）</w:t>
      </w:r>
    </w:p>
    <w:p w14:paraId="36FA2EAB">
      <w:pPr>
        <w:pStyle w:val="5"/>
        <w:spacing w:after="0" w:line="540" w:lineRule="exact"/>
        <w:jc w:val="center"/>
        <w:outlineLvl w:val="0"/>
        <w:rPr>
          <w:rFonts w:ascii="Times New Roman" w:hAnsi="Times New Roman" w:eastAsia="方正小标宋_GBK"/>
          <w:kern w:val="44"/>
          <w:szCs w:val="32"/>
        </w:rPr>
      </w:pPr>
      <w:bookmarkStart w:id="49" w:name="_Toc14692"/>
    </w:p>
    <w:p w14:paraId="5985D306">
      <w:pPr>
        <w:pStyle w:val="2"/>
        <w:keepNext w:val="0"/>
        <w:keepLines w:val="0"/>
        <w:spacing w:line="520" w:lineRule="exact"/>
        <w:jc w:val="center"/>
        <w:rPr>
          <w:rFonts w:ascii="黑体" w:hAnsi="黑体" w:eastAsia="黑体" w:cs="方正小标宋_GBK"/>
          <w:b w:val="0"/>
          <w:bCs w:val="0"/>
          <w:sz w:val="36"/>
          <w:szCs w:val="36"/>
        </w:rPr>
      </w:pPr>
    </w:p>
    <w:p w14:paraId="4138910F">
      <w:pPr>
        <w:pStyle w:val="2"/>
        <w:keepNext w:val="0"/>
        <w:keepLines w:val="0"/>
        <w:spacing w:line="520" w:lineRule="exact"/>
        <w:jc w:val="center"/>
        <w:rPr>
          <w:rFonts w:ascii="黑体" w:hAnsi="黑体" w:eastAsia="黑体" w:cs="方正小标宋_GBK"/>
          <w:b w:val="0"/>
          <w:bCs w:val="0"/>
          <w:sz w:val="36"/>
          <w:szCs w:val="36"/>
        </w:rPr>
      </w:pPr>
    </w:p>
    <w:p w14:paraId="30635567">
      <w:pPr>
        <w:pStyle w:val="2"/>
        <w:keepNext w:val="0"/>
        <w:keepLines w:val="0"/>
        <w:spacing w:line="520" w:lineRule="exact"/>
        <w:jc w:val="center"/>
        <w:rPr>
          <w:rFonts w:ascii="黑体" w:hAnsi="黑体" w:eastAsia="黑体" w:cs="方正小标宋_GBK"/>
          <w:b w:val="0"/>
          <w:bCs w:val="0"/>
          <w:sz w:val="36"/>
          <w:szCs w:val="36"/>
        </w:rPr>
      </w:pPr>
    </w:p>
    <w:p w14:paraId="4BA4DFF9">
      <w:pPr>
        <w:pStyle w:val="2"/>
        <w:keepNext w:val="0"/>
        <w:keepLines w:val="0"/>
        <w:spacing w:line="520" w:lineRule="exact"/>
        <w:jc w:val="center"/>
        <w:rPr>
          <w:rFonts w:ascii="黑体" w:hAnsi="黑体" w:eastAsia="黑体" w:cs="方正小标宋_GBK"/>
          <w:b w:val="0"/>
          <w:bCs w:val="0"/>
          <w:sz w:val="36"/>
          <w:szCs w:val="36"/>
        </w:rPr>
      </w:pPr>
    </w:p>
    <w:p w14:paraId="2115F368">
      <w:pPr>
        <w:pStyle w:val="2"/>
        <w:keepNext w:val="0"/>
        <w:keepLines w:val="0"/>
        <w:spacing w:line="520" w:lineRule="exact"/>
        <w:jc w:val="center"/>
        <w:rPr>
          <w:rFonts w:ascii="黑体" w:hAnsi="黑体" w:eastAsia="黑体" w:cs="方正小标宋_GBK"/>
          <w:b w:val="0"/>
          <w:bCs w:val="0"/>
          <w:sz w:val="36"/>
          <w:szCs w:val="36"/>
        </w:rPr>
      </w:pPr>
    </w:p>
    <w:p w14:paraId="56E63BB2">
      <w:pPr>
        <w:pStyle w:val="2"/>
        <w:keepNext w:val="0"/>
        <w:keepLines w:val="0"/>
        <w:spacing w:line="520" w:lineRule="exact"/>
        <w:jc w:val="center"/>
        <w:rPr>
          <w:rFonts w:ascii="黑体" w:hAnsi="黑体" w:eastAsia="黑体" w:cs="方正小标宋_GBK"/>
          <w:b w:val="0"/>
          <w:bCs w:val="0"/>
          <w:sz w:val="36"/>
          <w:szCs w:val="36"/>
        </w:rPr>
      </w:pPr>
    </w:p>
    <w:p w14:paraId="1ABEE857">
      <w:pPr>
        <w:pStyle w:val="2"/>
        <w:keepNext w:val="0"/>
        <w:keepLines w:val="0"/>
        <w:spacing w:line="520" w:lineRule="exact"/>
        <w:jc w:val="center"/>
        <w:rPr>
          <w:rFonts w:ascii="黑体" w:hAnsi="黑体" w:eastAsia="黑体" w:cs="方正小标宋_GBK"/>
          <w:b w:val="0"/>
          <w:bCs w:val="0"/>
          <w:sz w:val="36"/>
          <w:szCs w:val="36"/>
        </w:rPr>
      </w:pPr>
    </w:p>
    <w:p w14:paraId="66C501A0">
      <w:pPr>
        <w:pStyle w:val="2"/>
        <w:keepNext w:val="0"/>
        <w:keepLines w:val="0"/>
        <w:spacing w:line="520" w:lineRule="exact"/>
        <w:jc w:val="center"/>
        <w:rPr>
          <w:rFonts w:ascii="黑体" w:hAnsi="黑体" w:eastAsia="黑体" w:cs="方正小标宋_GBK"/>
          <w:b w:val="0"/>
          <w:bCs w:val="0"/>
          <w:sz w:val="36"/>
          <w:szCs w:val="36"/>
        </w:rPr>
      </w:pPr>
    </w:p>
    <w:p w14:paraId="511B6C06">
      <w:pPr>
        <w:pStyle w:val="2"/>
        <w:keepNext w:val="0"/>
        <w:keepLines w:val="0"/>
        <w:spacing w:line="520" w:lineRule="exact"/>
        <w:jc w:val="center"/>
        <w:rPr>
          <w:rFonts w:ascii="黑体" w:hAnsi="黑体" w:eastAsia="黑体" w:cs="方正小标宋_GBK"/>
          <w:b w:val="0"/>
          <w:bCs w:val="0"/>
          <w:sz w:val="36"/>
          <w:szCs w:val="36"/>
        </w:rPr>
      </w:pPr>
    </w:p>
    <w:p w14:paraId="5913708F">
      <w:pPr>
        <w:pStyle w:val="2"/>
        <w:keepNext w:val="0"/>
        <w:keepLines w:val="0"/>
        <w:spacing w:line="520" w:lineRule="exact"/>
        <w:jc w:val="center"/>
        <w:rPr>
          <w:rFonts w:ascii="黑体" w:hAnsi="黑体" w:eastAsia="黑体" w:cs="方正小标宋_GBK"/>
          <w:b w:val="0"/>
          <w:bCs w:val="0"/>
          <w:sz w:val="36"/>
          <w:szCs w:val="36"/>
        </w:rPr>
      </w:pPr>
    </w:p>
    <w:p w14:paraId="6CF03F06">
      <w:pPr>
        <w:pStyle w:val="2"/>
        <w:keepNext w:val="0"/>
        <w:keepLines w:val="0"/>
        <w:spacing w:line="520" w:lineRule="exact"/>
        <w:jc w:val="center"/>
        <w:rPr>
          <w:rFonts w:ascii="黑体" w:hAnsi="黑体" w:eastAsia="黑体" w:cs="方正小标宋_GBK"/>
          <w:b w:val="0"/>
          <w:bCs w:val="0"/>
          <w:sz w:val="36"/>
          <w:szCs w:val="36"/>
        </w:rPr>
      </w:pPr>
    </w:p>
    <w:p w14:paraId="3F449F91">
      <w:pPr>
        <w:pStyle w:val="2"/>
        <w:keepNext w:val="0"/>
        <w:keepLines w:val="0"/>
        <w:spacing w:line="520" w:lineRule="exact"/>
        <w:jc w:val="center"/>
        <w:rPr>
          <w:rFonts w:ascii="黑体" w:hAnsi="黑体" w:eastAsia="黑体" w:cs="方正小标宋_GBK"/>
          <w:b w:val="0"/>
          <w:bCs w:val="0"/>
          <w:sz w:val="36"/>
          <w:szCs w:val="36"/>
        </w:rPr>
      </w:pPr>
    </w:p>
    <w:p w14:paraId="6F214CA9">
      <w:pPr>
        <w:pStyle w:val="2"/>
        <w:keepNext w:val="0"/>
        <w:keepLines w:val="0"/>
        <w:spacing w:line="520" w:lineRule="exact"/>
        <w:jc w:val="center"/>
        <w:rPr>
          <w:rFonts w:ascii="黑体" w:hAnsi="黑体" w:eastAsia="黑体" w:cs="方正小标宋_GBK"/>
          <w:b w:val="0"/>
          <w:bCs w:val="0"/>
          <w:sz w:val="36"/>
          <w:szCs w:val="36"/>
        </w:rPr>
      </w:pPr>
    </w:p>
    <w:p w14:paraId="57E0CCED">
      <w:pPr>
        <w:pStyle w:val="2"/>
        <w:keepNext w:val="0"/>
        <w:keepLines w:val="0"/>
        <w:spacing w:line="520" w:lineRule="exact"/>
        <w:jc w:val="center"/>
        <w:rPr>
          <w:rFonts w:ascii="黑体" w:hAnsi="黑体" w:eastAsia="黑体" w:cs="方正小标宋_GBK"/>
          <w:b w:val="0"/>
          <w:bCs w:val="0"/>
          <w:sz w:val="36"/>
          <w:szCs w:val="36"/>
        </w:rPr>
      </w:pPr>
    </w:p>
    <w:p w14:paraId="47C0B0A5">
      <w:pPr>
        <w:pStyle w:val="2"/>
        <w:keepNext w:val="0"/>
        <w:keepLines w:val="0"/>
        <w:spacing w:line="520" w:lineRule="exact"/>
        <w:jc w:val="center"/>
        <w:rPr>
          <w:rFonts w:ascii="黑体" w:hAnsi="黑体" w:eastAsia="黑体" w:cs="方正小标宋_GBK"/>
          <w:b w:val="0"/>
          <w:bCs w:val="0"/>
          <w:sz w:val="36"/>
          <w:szCs w:val="36"/>
        </w:rPr>
      </w:pPr>
    </w:p>
    <w:p w14:paraId="2D111560">
      <w:pPr>
        <w:pStyle w:val="2"/>
        <w:keepNext w:val="0"/>
        <w:keepLines w:val="0"/>
        <w:spacing w:line="520" w:lineRule="exact"/>
        <w:jc w:val="center"/>
        <w:rPr>
          <w:rFonts w:ascii="黑体" w:hAnsi="黑体" w:eastAsia="黑体" w:cs="方正小标宋_GBK"/>
          <w:b w:val="0"/>
          <w:bCs w:val="0"/>
          <w:sz w:val="36"/>
          <w:szCs w:val="36"/>
        </w:rPr>
      </w:pPr>
    </w:p>
    <w:p w14:paraId="7F969DBB">
      <w:pPr>
        <w:pStyle w:val="2"/>
        <w:keepNext w:val="0"/>
        <w:keepLines w:val="0"/>
        <w:spacing w:line="520" w:lineRule="exact"/>
        <w:jc w:val="center"/>
        <w:rPr>
          <w:rFonts w:ascii="黑体" w:hAnsi="黑体" w:eastAsia="黑体" w:cs="方正小标宋_GBK"/>
          <w:b w:val="0"/>
          <w:bCs w:val="0"/>
          <w:sz w:val="36"/>
          <w:szCs w:val="36"/>
        </w:rPr>
      </w:pPr>
    </w:p>
    <w:p w14:paraId="45BDBC73">
      <w:pPr>
        <w:pStyle w:val="2"/>
        <w:keepNext w:val="0"/>
        <w:keepLines w:val="0"/>
        <w:spacing w:line="520" w:lineRule="exact"/>
        <w:jc w:val="center"/>
        <w:rPr>
          <w:rFonts w:ascii="黑体" w:hAnsi="黑体" w:eastAsia="黑体" w:cs="方正小标宋_GBK"/>
          <w:b w:val="0"/>
          <w:bCs w:val="0"/>
          <w:sz w:val="36"/>
          <w:szCs w:val="36"/>
        </w:rPr>
      </w:pPr>
    </w:p>
    <w:p w14:paraId="23070F4E">
      <w:pPr>
        <w:pStyle w:val="2"/>
        <w:keepNext w:val="0"/>
        <w:keepLines w:val="0"/>
        <w:spacing w:line="520" w:lineRule="exact"/>
        <w:jc w:val="center"/>
        <w:rPr>
          <w:rFonts w:ascii="黑体" w:hAnsi="黑体" w:eastAsia="黑体" w:cs="方正小标宋_GBK"/>
          <w:b w:val="0"/>
          <w:bCs w:val="0"/>
          <w:sz w:val="36"/>
          <w:szCs w:val="36"/>
        </w:rPr>
      </w:pPr>
    </w:p>
    <w:p w14:paraId="4BD09812">
      <w:pPr>
        <w:pStyle w:val="2"/>
        <w:keepNext w:val="0"/>
        <w:keepLines w:val="0"/>
        <w:spacing w:line="520" w:lineRule="exact"/>
        <w:jc w:val="center"/>
        <w:rPr>
          <w:rFonts w:ascii="黑体" w:hAnsi="黑体" w:eastAsia="黑体" w:cs="方正小标宋_GBK"/>
          <w:b w:val="0"/>
          <w:bCs w:val="0"/>
          <w:sz w:val="36"/>
          <w:szCs w:val="36"/>
        </w:rPr>
      </w:pPr>
    </w:p>
    <w:p w14:paraId="44AB9630">
      <w:pPr>
        <w:pStyle w:val="2"/>
        <w:keepNext w:val="0"/>
        <w:keepLines w:val="0"/>
        <w:spacing w:line="520" w:lineRule="exact"/>
        <w:jc w:val="center"/>
        <w:rPr>
          <w:rFonts w:ascii="黑体" w:hAnsi="黑体" w:eastAsia="黑体" w:cs="方正小标宋_GBK"/>
          <w:b w:val="0"/>
          <w:bCs w:val="0"/>
          <w:sz w:val="36"/>
          <w:szCs w:val="36"/>
        </w:rPr>
      </w:pPr>
      <w:r>
        <w:rPr>
          <w:rFonts w:ascii="黑体" w:hAnsi="黑体" w:eastAsia="黑体" w:cs="方正小标宋_GBK"/>
          <w:b w:val="0"/>
          <w:bCs w:val="0"/>
          <w:sz w:val="36"/>
          <w:szCs w:val="36"/>
        </w:rPr>
        <w:t>第</w:t>
      </w:r>
      <w:r>
        <w:rPr>
          <w:rFonts w:hint="eastAsia" w:ascii="黑体" w:hAnsi="黑体" w:eastAsia="黑体" w:cs="方正小标宋_GBK"/>
          <w:b w:val="0"/>
          <w:bCs w:val="0"/>
          <w:sz w:val="36"/>
          <w:szCs w:val="36"/>
        </w:rPr>
        <w:t>五</w:t>
      </w:r>
      <w:r>
        <w:rPr>
          <w:rFonts w:ascii="黑体" w:hAnsi="黑体" w:eastAsia="黑体" w:cs="方正小标宋_GBK"/>
          <w:b w:val="0"/>
          <w:bCs w:val="0"/>
          <w:sz w:val="36"/>
          <w:szCs w:val="36"/>
        </w:rPr>
        <w:t>章  响应文件格式</w:t>
      </w:r>
      <w:bookmarkEnd w:id="49"/>
    </w:p>
    <w:p w14:paraId="67E282F2">
      <w:pPr>
        <w:widowControl/>
        <w:jc w:val="left"/>
        <w:rPr>
          <w:rFonts w:ascii="仿宋" w:hAnsi="仿宋" w:eastAsia="仿宋" w:cs="仿宋"/>
          <w:b/>
          <w:color w:val="000000"/>
          <w:sz w:val="48"/>
          <w:szCs w:val="48"/>
        </w:rPr>
      </w:pPr>
      <w:r>
        <w:rPr>
          <w:rFonts w:ascii="仿宋" w:hAnsi="仿宋" w:eastAsia="仿宋" w:cs="仿宋"/>
          <w:b/>
          <w:color w:val="000000"/>
          <w:sz w:val="48"/>
          <w:szCs w:val="48"/>
        </w:rPr>
        <w:br w:type="page"/>
      </w:r>
    </w:p>
    <w:p w14:paraId="1CEE4E2E">
      <w:pPr>
        <w:pStyle w:val="13"/>
        <w:ind w:left="640" w:firstLine="640"/>
      </w:pPr>
    </w:p>
    <w:p w14:paraId="49EA28D8">
      <w:pPr>
        <w:spacing w:line="360" w:lineRule="auto"/>
        <w:jc w:val="center"/>
        <w:outlineLvl w:val="0"/>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金寨红色文化发展有限公司注销全过程</w:t>
      </w:r>
    </w:p>
    <w:p w14:paraId="50FC6584">
      <w:pPr>
        <w:spacing w:line="360" w:lineRule="auto"/>
        <w:jc w:val="center"/>
        <w:outlineLvl w:val="0"/>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val="en-US" w:eastAsia="zh-CN"/>
        </w:rPr>
        <w:t>法律专项服务</w:t>
      </w:r>
    </w:p>
    <w:p w14:paraId="33FFCD4F">
      <w:pPr>
        <w:jc w:val="center"/>
        <w:rPr>
          <w:rFonts w:hint="eastAsia" w:ascii="方正小标宋简体" w:hAnsi="方正小标宋简体" w:eastAsia="方正小标宋简体" w:cs="方正小标宋简体"/>
          <w:sz w:val="44"/>
          <w:szCs w:val="44"/>
        </w:rPr>
      </w:pPr>
    </w:p>
    <w:p w14:paraId="6A27D3A5">
      <w:pPr>
        <w:jc w:val="center"/>
        <w:rPr>
          <w:rFonts w:hint="eastAsia" w:ascii="方正小标宋简体" w:hAnsi="方正小标宋简体" w:eastAsia="方正小标宋简体" w:cs="方正小标宋简体"/>
          <w:sz w:val="44"/>
          <w:szCs w:val="44"/>
        </w:rPr>
      </w:pPr>
    </w:p>
    <w:p w14:paraId="475F812E">
      <w:pPr>
        <w:jc w:val="center"/>
        <w:rPr>
          <w:rFonts w:hint="eastAsia" w:ascii="方正小标宋简体" w:hAnsi="方正小标宋简体" w:eastAsia="方正小标宋简体" w:cs="方正小标宋简体"/>
          <w:sz w:val="44"/>
          <w:szCs w:val="44"/>
        </w:rPr>
      </w:pPr>
    </w:p>
    <w:p w14:paraId="07791A05">
      <w:pPr>
        <w:jc w:val="center"/>
        <w:rPr>
          <w:rFonts w:hint="eastAsia" w:ascii="方正小标宋简体" w:hAnsi="方正小标宋简体" w:eastAsia="方正小标宋简体" w:cs="方正小标宋简体"/>
          <w:sz w:val="44"/>
          <w:szCs w:val="44"/>
        </w:rPr>
      </w:pPr>
    </w:p>
    <w:p w14:paraId="02FA3904">
      <w:pPr>
        <w:jc w:val="center"/>
        <w:rPr>
          <w:rFonts w:hint="eastAsia" w:ascii="方正小标宋简体" w:hAnsi="方正小标宋简体" w:eastAsia="方正小标宋简体" w:cs="方正小标宋简体"/>
          <w:sz w:val="44"/>
          <w:szCs w:val="44"/>
        </w:rPr>
      </w:pPr>
    </w:p>
    <w:p w14:paraId="6596A464">
      <w:pPr>
        <w:jc w:val="center"/>
        <w:outlineLvl w:val="0"/>
        <w:rPr>
          <w:rFonts w:hint="eastAsia" w:ascii="方正小标宋简体" w:hAnsi="方正小标宋简体" w:eastAsia="方正小标宋简体" w:cs="方正小标宋简体"/>
          <w:b w:val="0"/>
          <w:bCs/>
          <w:sz w:val="44"/>
          <w:szCs w:val="44"/>
        </w:rPr>
      </w:pPr>
      <w:bookmarkStart w:id="50" w:name="_Toc23976"/>
      <w:bookmarkStart w:id="51" w:name="_Toc11662_WPSOffice_Level1"/>
      <w:bookmarkStart w:id="52" w:name="_Toc19992_WPSOffice_Level1"/>
      <w:bookmarkStart w:id="53" w:name="_Toc30981_WPSOffice_Level1"/>
      <w:bookmarkStart w:id="54" w:name="_Toc4126_WPSOffice_Level1"/>
      <w:bookmarkStart w:id="55" w:name="_Toc28474_WPSOffice_Level1"/>
      <w:bookmarkStart w:id="56" w:name="_Toc5294"/>
      <w:r>
        <w:rPr>
          <w:rFonts w:hint="eastAsia" w:ascii="方正小标宋简体" w:hAnsi="方正小标宋简体" w:eastAsia="方正小标宋简体" w:cs="方正小标宋简体"/>
          <w:b w:val="0"/>
          <w:bCs/>
          <w:color w:val="000000"/>
          <w:spacing w:val="40"/>
          <w:kern w:val="0"/>
          <w:sz w:val="44"/>
          <w:szCs w:val="44"/>
        </w:rPr>
        <w:t>询比响应文件</w:t>
      </w:r>
      <w:bookmarkEnd w:id="50"/>
      <w:bookmarkEnd w:id="51"/>
      <w:bookmarkEnd w:id="52"/>
      <w:bookmarkEnd w:id="53"/>
      <w:bookmarkEnd w:id="54"/>
      <w:bookmarkEnd w:id="55"/>
      <w:bookmarkEnd w:id="56"/>
    </w:p>
    <w:p w14:paraId="4BCCC982">
      <w:pPr>
        <w:jc w:val="left"/>
        <w:rPr>
          <w:rFonts w:hint="eastAsia" w:ascii="仿宋_GB2312" w:hAnsi="仿宋_GB2312" w:eastAsia="仿宋_GB2312" w:cs="仿宋_GB2312"/>
          <w:sz w:val="32"/>
          <w:szCs w:val="32"/>
        </w:rPr>
      </w:pPr>
    </w:p>
    <w:p w14:paraId="7F1BD804">
      <w:pPr>
        <w:jc w:val="left"/>
        <w:rPr>
          <w:rFonts w:hint="eastAsia" w:ascii="仿宋_GB2312" w:hAnsi="仿宋_GB2312" w:eastAsia="仿宋_GB2312" w:cs="仿宋_GB2312"/>
          <w:sz w:val="32"/>
          <w:szCs w:val="32"/>
        </w:rPr>
      </w:pPr>
    </w:p>
    <w:p w14:paraId="08FF6568">
      <w:pPr>
        <w:jc w:val="left"/>
        <w:rPr>
          <w:rFonts w:hint="eastAsia" w:ascii="仿宋_GB2312" w:hAnsi="仿宋_GB2312" w:eastAsia="仿宋_GB2312" w:cs="仿宋_GB2312"/>
          <w:sz w:val="32"/>
          <w:szCs w:val="32"/>
        </w:rPr>
      </w:pPr>
    </w:p>
    <w:p w14:paraId="27EB3379">
      <w:pPr>
        <w:jc w:val="left"/>
        <w:rPr>
          <w:rFonts w:hint="eastAsia" w:ascii="仿宋_GB2312" w:hAnsi="仿宋_GB2312" w:eastAsia="仿宋_GB2312" w:cs="仿宋_GB2312"/>
          <w:sz w:val="32"/>
          <w:szCs w:val="32"/>
        </w:rPr>
      </w:pPr>
    </w:p>
    <w:p w14:paraId="63FC89D9">
      <w:pPr>
        <w:jc w:val="left"/>
        <w:rPr>
          <w:rFonts w:hint="eastAsia" w:ascii="仿宋_GB2312" w:hAnsi="仿宋_GB2312" w:eastAsia="仿宋_GB2312" w:cs="仿宋_GB2312"/>
          <w:sz w:val="32"/>
          <w:szCs w:val="32"/>
        </w:rPr>
      </w:pPr>
    </w:p>
    <w:p w14:paraId="0AF183B8">
      <w:pPr>
        <w:jc w:val="left"/>
        <w:rPr>
          <w:rFonts w:hint="eastAsia" w:ascii="仿宋_GB2312" w:hAnsi="仿宋_GB2312" w:eastAsia="仿宋_GB2312" w:cs="仿宋_GB2312"/>
          <w:sz w:val="32"/>
          <w:szCs w:val="32"/>
        </w:rPr>
      </w:pPr>
    </w:p>
    <w:p w14:paraId="37DFB578">
      <w:pPr>
        <w:jc w:val="left"/>
        <w:rPr>
          <w:rFonts w:hint="eastAsia" w:ascii="仿宋_GB2312" w:hAnsi="仿宋_GB2312" w:eastAsia="仿宋_GB2312" w:cs="仿宋_GB2312"/>
          <w:sz w:val="32"/>
          <w:szCs w:val="32"/>
        </w:rPr>
      </w:pPr>
    </w:p>
    <w:p w14:paraId="340577C5">
      <w:pPr>
        <w:jc w:val="left"/>
        <w:rPr>
          <w:rFonts w:hint="eastAsia" w:ascii="仿宋_GB2312" w:hAnsi="仿宋_GB2312" w:eastAsia="仿宋_GB2312" w:cs="仿宋_GB2312"/>
          <w:sz w:val="32"/>
          <w:szCs w:val="32"/>
        </w:rPr>
      </w:pPr>
    </w:p>
    <w:p w14:paraId="10727FDB">
      <w:pPr>
        <w:jc w:val="left"/>
        <w:rPr>
          <w:rFonts w:hint="eastAsia" w:ascii="仿宋_GB2312" w:hAnsi="仿宋_GB2312" w:eastAsia="仿宋_GB2312" w:cs="仿宋_GB2312"/>
          <w:sz w:val="32"/>
          <w:szCs w:val="32"/>
        </w:rPr>
      </w:pPr>
    </w:p>
    <w:p w14:paraId="09876466">
      <w:pPr>
        <w:jc w:val="left"/>
        <w:rPr>
          <w:rFonts w:hint="eastAsia" w:ascii="仿宋_GB2312" w:hAnsi="仿宋_GB2312" w:eastAsia="仿宋_GB2312" w:cs="仿宋_GB2312"/>
          <w:sz w:val="32"/>
          <w:szCs w:val="32"/>
        </w:rPr>
      </w:pPr>
    </w:p>
    <w:p w14:paraId="00499450">
      <w:pPr>
        <w:spacing w:line="440" w:lineRule="exact"/>
        <w:ind w:firstLine="643" w:firstLineChars="200"/>
        <w:jc w:val="left"/>
        <w:outlineLvl w:val="0"/>
        <w:rPr>
          <w:rFonts w:hint="eastAsia" w:ascii="仿宋_GB2312" w:hAnsi="仿宋_GB2312" w:eastAsia="仿宋_GB2312" w:cs="仿宋_GB2312"/>
          <w:b/>
          <w:bCs/>
          <w:color w:val="000000"/>
          <w:sz w:val="32"/>
          <w:szCs w:val="32"/>
        </w:rPr>
      </w:pPr>
      <w:bookmarkStart w:id="57" w:name="_Toc18713_WPSOffice_Level1"/>
      <w:bookmarkStart w:id="58" w:name="_Toc28924_WPSOffice_Level1"/>
      <w:bookmarkStart w:id="59" w:name="_Toc13578_WPSOffice_Level1"/>
      <w:bookmarkStart w:id="60" w:name="_Toc1166"/>
      <w:bookmarkStart w:id="61" w:name="_Toc21089_WPSOffice_Level1"/>
      <w:bookmarkStart w:id="62" w:name="_Toc9216_WPSOffice_Level1"/>
      <w:bookmarkStart w:id="63" w:name="_Toc21990"/>
      <w:r>
        <w:rPr>
          <w:rFonts w:hint="eastAsia" w:ascii="仿宋_GB2312" w:hAnsi="仿宋_GB2312" w:eastAsia="仿宋_GB2312" w:cs="仿宋_GB2312"/>
          <w:b/>
          <w:bCs/>
          <w:color w:val="000000"/>
          <w:sz w:val="32"/>
          <w:szCs w:val="32"/>
        </w:rPr>
        <w:t>参比单位：</w:t>
      </w:r>
      <w:r>
        <w:rPr>
          <w:rFonts w:hint="eastAsia" w:ascii="仿宋_GB2312" w:hAnsi="仿宋_GB2312" w:eastAsia="仿宋_GB2312" w:cs="仿宋_GB2312"/>
          <w:b/>
          <w:bCs/>
          <w:color w:val="000000"/>
          <w:sz w:val="32"/>
          <w:szCs w:val="32"/>
          <w:u w:val="single"/>
        </w:rPr>
        <w:t xml:space="preserve">                                </w:t>
      </w:r>
      <w:bookmarkEnd w:id="57"/>
      <w:bookmarkEnd w:id="58"/>
      <w:bookmarkEnd w:id="59"/>
      <w:bookmarkEnd w:id="60"/>
      <w:bookmarkEnd w:id="61"/>
      <w:bookmarkEnd w:id="62"/>
      <w:bookmarkEnd w:id="63"/>
      <w:r>
        <w:rPr>
          <w:rFonts w:hint="eastAsia" w:ascii="仿宋_GB2312" w:hAnsi="仿宋_GB2312" w:eastAsia="仿宋_GB2312" w:cs="仿宋_GB2312"/>
          <w:b/>
          <w:bCs/>
          <w:color w:val="000000"/>
          <w:sz w:val="32"/>
          <w:szCs w:val="32"/>
        </w:rPr>
        <w:t>(盖单位章)</w:t>
      </w:r>
    </w:p>
    <w:p w14:paraId="251D8BFF">
      <w:pPr>
        <w:spacing w:line="440" w:lineRule="exact"/>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p>
    <w:p w14:paraId="0F677D51">
      <w:pPr>
        <w:spacing w:line="440" w:lineRule="exact"/>
        <w:jc w:val="center"/>
        <w:outlineLvl w:val="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u w:val="single"/>
        </w:rPr>
        <w:t xml:space="preserve">        </w:t>
      </w:r>
      <w:bookmarkStart w:id="64" w:name="_Toc24540"/>
      <w:bookmarkStart w:id="65" w:name="_Toc14418_WPSOffice_Level1"/>
      <w:bookmarkStart w:id="66" w:name="_Toc12988_WPSOffice_Level1"/>
      <w:bookmarkStart w:id="67" w:name="_Toc6561"/>
      <w:bookmarkStart w:id="68" w:name="_Toc28586_WPSOffice_Level1"/>
      <w:bookmarkStart w:id="69" w:name="_Toc6860_WPSOffice_Level1"/>
      <w:bookmarkStart w:id="70" w:name="_Toc12790_WPSOffice_Level1"/>
      <w:r>
        <w:rPr>
          <w:rFonts w:hint="eastAsia" w:ascii="仿宋_GB2312" w:hAnsi="仿宋_GB2312" w:eastAsia="仿宋_GB2312" w:cs="仿宋_GB2312"/>
          <w:b/>
          <w:bCs/>
          <w:color w:val="000000"/>
          <w:sz w:val="32"/>
          <w:szCs w:val="32"/>
        </w:rPr>
        <w:t>年</w:t>
      </w:r>
      <w:r>
        <w:rPr>
          <w:rFonts w:hint="eastAsia" w:ascii="仿宋_GB2312" w:hAnsi="仿宋_GB2312" w:eastAsia="仿宋_GB2312" w:cs="仿宋_GB2312"/>
          <w:b/>
          <w:bCs/>
          <w:color w:val="000000"/>
          <w:sz w:val="32"/>
          <w:szCs w:val="32"/>
          <w:u w:val="single"/>
        </w:rPr>
        <w:t xml:space="preserve">    </w:t>
      </w:r>
      <w:r>
        <w:rPr>
          <w:rFonts w:hint="eastAsia" w:ascii="仿宋_GB2312" w:hAnsi="仿宋_GB2312" w:eastAsia="仿宋_GB2312" w:cs="仿宋_GB2312"/>
          <w:b/>
          <w:bCs/>
          <w:color w:val="000000"/>
          <w:sz w:val="32"/>
          <w:szCs w:val="32"/>
        </w:rPr>
        <w:t>月</w:t>
      </w:r>
      <w:r>
        <w:rPr>
          <w:rFonts w:hint="eastAsia" w:ascii="仿宋_GB2312" w:hAnsi="仿宋_GB2312" w:eastAsia="仿宋_GB2312" w:cs="仿宋_GB2312"/>
          <w:b/>
          <w:bCs/>
          <w:color w:val="000000"/>
          <w:sz w:val="32"/>
          <w:szCs w:val="32"/>
          <w:u w:val="single"/>
        </w:rPr>
        <w:t xml:space="preserve">     </w:t>
      </w:r>
      <w:r>
        <w:rPr>
          <w:rFonts w:hint="eastAsia" w:ascii="仿宋_GB2312" w:hAnsi="仿宋_GB2312" w:eastAsia="仿宋_GB2312" w:cs="仿宋_GB2312"/>
          <w:b/>
          <w:bCs/>
          <w:color w:val="000000"/>
          <w:sz w:val="32"/>
          <w:szCs w:val="32"/>
        </w:rPr>
        <w:t>日</w:t>
      </w:r>
      <w:bookmarkEnd w:id="64"/>
      <w:bookmarkEnd w:id="65"/>
      <w:bookmarkEnd w:id="66"/>
      <w:bookmarkEnd w:id="67"/>
      <w:bookmarkEnd w:id="68"/>
      <w:bookmarkEnd w:id="69"/>
      <w:bookmarkEnd w:id="70"/>
    </w:p>
    <w:p w14:paraId="567D70A4">
      <w:pPr>
        <w:spacing w:line="540" w:lineRule="exact"/>
        <w:ind w:firstLine="643"/>
        <w:jc w:val="center"/>
        <w:rPr>
          <w:rFonts w:hint="eastAsia" w:ascii="仿宋_GB2312" w:hAnsi="仿宋_GB2312" w:eastAsia="仿宋_GB2312" w:cs="仿宋_GB2312"/>
          <w:b/>
          <w:sz w:val="32"/>
          <w:szCs w:val="32"/>
        </w:rPr>
        <w:sectPr>
          <w:footerReference r:id="rId15" w:type="first"/>
          <w:footerReference r:id="rId14" w:type="default"/>
          <w:pgSz w:w="11907" w:h="16840"/>
          <w:pgMar w:top="2098" w:right="1531" w:bottom="2098" w:left="1531" w:header="680" w:footer="697" w:gutter="0"/>
          <w:cols w:space="720" w:num="1"/>
          <w:docGrid w:linePitch="271" w:charSpace="0"/>
        </w:sectPr>
      </w:pPr>
    </w:p>
    <w:p w14:paraId="3E5C3B72">
      <w:pPr>
        <w:tabs>
          <w:tab w:val="left" w:pos="0"/>
        </w:tabs>
        <w:spacing w:line="540" w:lineRule="exact"/>
        <w:jc w:val="center"/>
        <w:outlineLvl w:val="0"/>
        <w:rPr>
          <w:rFonts w:ascii="方正小标宋_GBK" w:hAnsi="方正小标宋_GBK" w:eastAsia="方正小标宋_GBK" w:cs="方正小标宋_GBK"/>
          <w:sz w:val="44"/>
          <w:szCs w:val="44"/>
        </w:rPr>
      </w:pPr>
      <w:bookmarkStart w:id="71" w:name="_Toc5699"/>
      <w:bookmarkStart w:id="72" w:name="_Toc6042"/>
      <w:r>
        <w:rPr>
          <w:rFonts w:hint="eastAsia" w:ascii="方正小标宋_GBK" w:hAnsi="方正小标宋_GBK" w:eastAsia="方正小标宋_GBK" w:cs="方正小标宋_GBK"/>
          <w:sz w:val="44"/>
          <w:szCs w:val="44"/>
        </w:rPr>
        <w:t>目</w:t>
      </w:r>
      <w:r>
        <w:rPr>
          <w:rFonts w:hint="eastAsia" w:ascii="方正小标宋_GBK" w:hAnsi="方正小标宋_GBK" w:eastAsia="方正小标宋_GBK" w:cs="方正小标宋_GBK"/>
          <w:sz w:val="44"/>
          <w:szCs w:val="44"/>
        </w:rPr>
        <w:tab/>
      </w:r>
      <w:r>
        <w:rPr>
          <w:rFonts w:hint="eastAsia" w:ascii="方正小标宋_GBK" w:hAnsi="方正小标宋_GBK" w:eastAsia="方正小标宋_GBK" w:cs="方正小标宋_GBK"/>
          <w:sz w:val="44"/>
          <w:szCs w:val="44"/>
        </w:rPr>
        <w:t>录</w:t>
      </w:r>
      <w:bookmarkEnd w:id="71"/>
      <w:bookmarkEnd w:id="72"/>
    </w:p>
    <w:p w14:paraId="6F9791DA">
      <w:pPr>
        <w:pStyle w:val="13"/>
        <w:ind w:left="640" w:firstLine="640"/>
      </w:pPr>
    </w:p>
    <w:p w14:paraId="70C90E16">
      <w:pPr>
        <w:pStyle w:val="13"/>
        <w:ind w:left="640" w:firstLine="640"/>
      </w:pPr>
    </w:p>
    <w:p w14:paraId="4DD26CD5">
      <w:pPr>
        <w:pStyle w:val="5"/>
        <w:spacing w:after="0" w:line="540" w:lineRule="exact"/>
        <w:rPr>
          <w:rFonts w:ascii="Times New Roman" w:hAnsi="Times New Roman"/>
          <w:sz w:val="28"/>
          <w:szCs w:val="28"/>
        </w:rPr>
      </w:pPr>
    </w:p>
    <w:p w14:paraId="25627A25">
      <w:pPr>
        <w:spacing w:line="360" w:lineRule="auto"/>
        <w:ind w:firstLine="548" w:firstLineChars="200"/>
        <w:jc w:val="left"/>
        <w:outlineLvl w:val="0"/>
        <w:rPr>
          <w:rFonts w:ascii="仿宋_GB2312" w:hAnsi="仿宋_GB2312" w:cs="仿宋_GB2312"/>
          <w:spacing w:val="-3"/>
          <w:sz w:val="28"/>
          <w:szCs w:val="28"/>
        </w:rPr>
      </w:pPr>
      <w:bookmarkStart w:id="73" w:name="_Toc28411"/>
      <w:bookmarkStart w:id="74" w:name="_Toc9839"/>
      <w:r>
        <w:rPr>
          <w:rFonts w:hint="eastAsia" w:ascii="仿宋_GB2312" w:hAnsi="仿宋_GB2312" w:cs="仿宋_GB2312"/>
          <w:spacing w:val="-3"/>
          <w:sz w:val="28"/>
          <w:szCs w:val="28"/>
        </w:rPr>
        <w:t>一、</w:t>
      </w:r>
      <w:bookmarkEnd w:id="73"/>
      <w:bookmarkEnd w:id="74"/>
      <w:r>
        <w:rPr>
          <w:rFonts w:hint="eastAsia" w:ascii="仿宋_GB2312" w:hAnsi="仿宋_GB2312" w:cs="仿宋_GB2312"/>
          <w:spacing w:val="-3"/>
          <w:sz w:val="28"/>
          <w:szCs w:val="28"/>
        </w:rPr>
        <w:t>律师事务所执业许可证……………………………………起止页码</w:t>
      </w:r>
    </w:p>
    <w:p w14:paraId="57754830">
      <w:pPr>
        <w:spacing w:line="360" w:lineRule="auto"/>
        <w:ind w:firstLine="548" w:firstLineChars="200"/>
        <w:jc w:val="left"/>
        <w:outlineLvl w:val="0"/>
        <w:rPr>
          <w:rFonts w:ascii="仿宋_GB2312" w:hAnsi="仿宋_GB2312" w:cs="仿宋_GB2312"/>
          <w:spacing w:val="-3"/>
          <w:sz w:val="28"/>
          <w:szCs w:val="28"/>
        </w:rPr>
      </w:pPr>
      <w:bookmarkStart w:id="75" w:name="_Toc29431"/>
      <w:bookmarkStart w:id="76" w:name="_Toc12901"/>
      <w:r>
        <w:rPr>
          <w:rFonts w:hint="eastAsia" w:ascii="仿宋_GB2312" w:hAnsi="仿宋_GB2312" w:cs="仿宋_GB2312"/>
          <w:spacing w:val="-3"/>
          <w:sz w:val="28"/>
          <w:szCs w:val="28"/>
        </w:rPr>
        <w:t>二、无利益冲突和保密承诺函…………………………………起至页码</w:t>
      </w:r>
    </w:p>
    <w:p w14:paraId="4B05CFFC">
      <w:pPr>
        <w:pStyle w:val="13"/>
        <w:spacing w:line="360" w:lineRule="auto"/>
        <w:ind w:left="0" w:leftChars="0" w:firstLine="548"/>
        <w:jc w:val="left"/>
        <w:rPr>
          <w:rFonts w:ascii="仿宋_GB2312" w:hAnsi="仿宋_GB2312" w:cs="仿宋_GB2312"/>
          <w:spacing w:val="-3"/>
          <w:sz w:val="28"/>
          <w:szCs w:val="28"/>
        </w:rPr>
      </w:pPr>
      <w:r>
        <w:rPr>
          <w:rFonts w:hint="eastAsia" w:ascii="仿宋_GB2312" w:hAnsi="仿宋_GB2312" w:cs="仿宋_GB2312"/>
          <w:spacing w:val="-3"/>
          <w:sz w:val="28"/>
          <w:szCs w:val="28"/>
        </w:rPr>
        <w:t>三、团队人员名单和证书……………………………………… 起至页码</w:t>
      </w:r>
    </w:p>
    <w:p w14:paraId="4637AC28">
      <w:pPr>
        <w:pStyle w:val="13"/>
        <w:spacing w:line="360" w:lineRule="auto"/>
        <w:ind w:left="0" w:leftChars="0" w:firstLine="548"/>
        <w:jc w:val="left"/>
        <w:rPr>
          <w:rFonts w:ascii="仿宋_GB2312" w:hAnsi="仿宋_GB2312" w:cs="仿宋_GB2312"/>
          <w:spacing w:val="-3"/>
          <w:sz w:val="28"/>
          <w:szCs w:val="28"/>
        </w:rPr>
      </w:pPr>
      <w:r>
        <w:rPr>
          <w:rFonts w:hint="eastAsia" w:ascii="仿宋_GB2312" w:hAnsi="仿宋_GB2312" w:cs="仿宋_GB2312"/>
          <w:spacing w:val="-3"/>
          <w:sz w:val="28"/>
          <w:szCs w:val="28"/>
        </w:rPr>
        <w:t>四、法定代表人身份证明或授权委托书</w:t>
      </w:r>
      <w:bookmarkEnd w:id="75"/>
      <w:bookmarkEnd w:id="76"/>
      <w:r>
        <w:rPr>
          <w:rFonts w:hint="eastAsia" w:ascii="仿宋_GB2312" w:hAnsi="仿宋_GB2312" w:cs="仿宋_GB2312"/>
          <w:spacing w:val="-3"/>
          <w:sz w:val="28"/>
          <w:szCs w:val="28"/>
        </w:rPr>
        <w:t>………………………起至页码</w:t>
      </w:r>
    </w:p>
    <w:p w14:paraId="6B631955">
      <w:pPr>
        <w:pStyle w:val="13"/>
        <w:spacing w:line="360" w:lineRule="auto"/>
        <w:ind w:left="0" w:leftChars="0" w:firstLine="548"/>
        <w:jc w:val="left"/>
        <w:rPr>
          <w:rFonts w:ascii="仿宋_GB2312" w:hAnsi="仿宋_GB2312" w:cs="仿宋_GB2312"/>
          <w:spacing w:val="-3"/>
          <w:sz w:val="28"/>
          <w:szCs w:val="28"/>
        </w:rPr>
      </w:pPr>
      <w:bookmarkStart w:id="77" w:name="_Toc4901"/>
      <w:bookmarkStart w:id="78" w:name="_Toc4276"/>
      <w:r>
        <w:rPr>
          <w:rFonts w:hint="eastAsia" w:ascii="仿宋_GB2312" w:hAnsi="仿宋_GB2312" w:cs="仿宋_GB2312"/>
          <w:spacing w:val="-3"/>
          <w:sz w:val="28"/>
          <w:szCs w:val="28"/>
        </w:rPr>
        <w:t>五、服务团队资质业绩证明材料……………………………… 起止页码</w:t>
      </w:r>
    </w:p>
    <w:p w14:paraId="42DD5F0A">
      <w:pPr>
        <w:pStyle w:val="13"/>
        <w:spacing w:line="360" w:lineRule="auto"/>
        <w:ind w:left="0" w:leftChars="0" w:firstLine="548"/>
        <w:jc w:val="left"/>
        <w:rPr>
          <w:rFonts w:ascii="仿宋_GB2312" w:hAnsi="仿宋_GB2312" w:cs="仿宋_GB2312"/>
          <w:spacing w:val="-3"/>
          <w:sz w:val="28"/>
          <w:szCs w:val="28"/>
        </w:rPr>
      </w:pPr>
      <w:bookmarkStart w:id="79" w:name="_Toc29941"/>
      <w:bookmarkStart w:id="80" w:name="_Toc4004"/>
      <w:r>
        <w:rPr>
          <w:rFonts w:hint="eastAsia" w:ascii="仿宋_GB2312" w:hAnsi="仿宋_GB2312" w:cs="仿宋_GB2312"/>
          <w:spacing w:val="-3"/>
          <w:sz w:val="28"/>
          <w:szCs w:val="28"/>
        </w:rPr>
        <w:t>六、</w:t>
      </w:r>
      <w:bookmarkEnd w:id="79"/>
      <w:bookmarkEnd w:id="80"/>
      <w:r>
        <w:rPr>
          <w:rFonts w:hint="eastAsia" w:ascii="仿宋_GB2312" w:hAnsi="仿宋_GB2312" w:cs="仿宋_GB2312"/>
          <w:spacing w:val="-3"/>
          <w:sz w:val="28"/>
          <w:szCs w:val="28"/>
        </w:rPr>
        <w:t>服务方案…………………………………………………… 起止页码</w:t>
      </w:r>
    </w:p>
    <w:p w14:paraId="553BA54E">
      <w:pPr>
        <w:pStyle w:val="13"/>
        <w:spacing w:line="360" w:lineRule="auto"/>
        <w:ind w:left="0" w:leftChars="0" w:firstLine="548"/>
        <w:jc w:val="left"/>
        <w:rPr>
          <w:rFonts w:ascii="仿宋_GB2312" w:hAnsi="仿宋_GB2312" w:cs="仿宋_GB2312"/>
          <w:spacing w:val="-3"/>
          <w:sz w:val="28"/>
          <w:szCs w:val="28"/>
        </w:rPr>
      </w:pPr>
      <w:r>
        <w:rPr>
          <w:rFonts w:hint="eastAsia" w:ascii="仿宋_GB2312" w:hAnsi="仿宋_GB2312" w:cs="仿宋_GB2312"/>
          <w:spacing w:val="-3"/>
          <w:sz w:val="28"/>
          <w:szCs w:val="28"/>
        </w:rPr>
        <w:t>七、报价单</w:t>
      </w:r>
      <w:bookmarkEnd w:id="77"/>
      <w:bookmarkEnd w:id="78"/>
      <w:r>
        <w:rPr>
          <w:rFonts w:hint="eastAsia" w:ascii="仿宋_GB2312" w:hAnsi="仿宋_GB2312" w:cs="仿宋_GB2312"/>
          <w:spacing w:val="-3"/>
          <w:sz w:val="28"/>
          <w:szCs w:val="28"/>
        </w:rPr>
        <w:t>……………………………………………………… 起止页码</w:t>
      </w:r>
    </w:p>
    <w:p w14:paraId="7E4A7940">
      <w:pPr>
        <w:spacing w:line="360" w:lineRule="auto"/>
        <w:ind w:firstLine="548" w:firstLineChars="200"/>
        <w:jc w:val="left"/>
        <w:outlineLvl w:val="0"/>
        <w:rPr>
          <w:rFonts w:ascii="仿宋_GB2312" w:hAnsi="仿宋_GB2312" w:cs="仿宋_GB2312"/>
          <w:spacing w:val="-3"/>
          <w:sz w:val="28"/>
          <w:szCs w:val="28"/>
        </w:rPr>
      </w:pPr>
      <w:bookmarkStart w:id="81" w:name="_Toc12637"/>
      <w:r>
        <w:rPr>
          <w:rFonts w:hint="eastAsia" w:ascii="仿宋_GB2312" w:hAnsi="仿宋_GB2312" w:cs="仿宋_GB2312"/>
          <w:spacing w:val="-3"/>
          <w:sz w:val="28"/>
          <w:szCs w:val="28"/>
        </w:rPr>
        <w:t>八、</w:t>
      </w:r>
      <w:bookmarkStart w:id="82" w:name="_Toc31692"/>
      <w:r>
        <w:rPr>
          <w:rFonts w:hint="eastAsia" w:ascii="仿宋_GB2312" w:hAnsi="仿宋_GB2312" w:cs="仿宋_GB2312"/>
          <w:spacing w:val="-3"/>
          <w:sz w:val="28"/>
          <w:szCs w:val="28"/>
        </w:rPr>
        <w:t>其他响应资料</w:t>
      </w:r>
      <w:bookmarkEnd w:id="81"/>
      <w:bookmarkEnd w:id="82"/>
      <w:r>
        <w:rPr>
          <w:rFonts w:hint="eastAsia" w:ascii="仿宋_GB2312" w:hAnsi="仿宋_GB2312" w:cs="仿宋_GB2312"/>
          <w:spacing w:val="-3"/>
          <w:sz w:val="28"/>
          <w:szCs w:val="28"/>
        </w:rPr>
        <w:t>……………………………………………… 起止页码</w:t>
      </w:r>
    </w:p>
    <w:p w14:paraId="647C6DEC">
      <w:pPr>
        <w:spacing w:line="360" w:lineRule="auto"/>
        <w:jc w:val="left"/>
        <w:outlineLvl w:val="0"/>
        <w:rPr>
          <w:rFonts w:ascii="Times New Roman" w:hAnsi="仿宋_GB2312"/>
          <w:spacing w:val="-3"/>
          <w:sz w:val="28"/>
          <w:szCs w:val="28"/>
        </w:rPr>
      </w:pPr>
    </w:p>
    <w:p w14:paraId="5FEE7F03">
      <w:pPr>
        <w:pStyle w:val="5"/>
        <w:spacing w:after="0" w:line="540" w:lineRule="exact"/>
        <w:ind w:firstLine="552" w:firstLineChars="200"/>
        <w:rPr>
          <w:rFonts w:ascii="仿宋_GB2312" w:hAnsi="仿宋_GB2312" w:cs="仿宋_GB2312"/>
          <w:spacing w:val="-2"/>
          <w:sz w:val="28"/>
          <w:szCs w:val="28"/>
        </w:rPr>
      </w:pPr>
    </w:p>
    <w:p w14:paraId="0EF7292D">
      <w:pPr>
        <w:spacing w:line="295" w:lineRule="auto"/>
        <w:jc w:val="left"/>
        <w:rPr>
          <w:rFonts w:ascii="黑体" w:eastAsia="黑体"/>
          <w:sz w:val="28"/>
        </w:rPr>
        <w:sectPr>
          <w:pgSz w:w="11910" w:h="16840"/>
          <w:pgMar w:top="2098" w:right="1531" w:bottom="2098" w:left="1531" w:header="0" w:footer="970" w:gutter="0"/>
          <w:cols w:space="720" w:num="1"/>
        </w:sectPr>
      </w:pPr>
    </w:p>
    <w:p w14:paraId="19790402">
      <w:pPr>
        <w:jc w:val="center"/>
        <w:outlineLvl w:val="0"/>
        <w:rPr>
          <w:rFonts w:hint="eastAsia" w:ascii="方正小标宋简体" w:hAnsi="方正小标宋简体" w:eastAsia="方正小标宋简体" w:cs="方正小标宋简体"/>
          <w:sz w:val="32"/>
          <w:szCs w:val="32"/>
        </w:rPr>
      </w:pPr>
      <w:bookmarkStart w:id="83" w:name="_Toc201"/>
      <w:bookmarkStart w:id="84" w:name="_Toc2843"/>
      <w:r>
        <w:rPr>
          <w:rFonts w:hint="eastAsia" w:ascii="方正小标宋简体" w:hAnsi="方正小标宋简体" w:eastAsia="方正小标宋简体" w:cs="方正小标宋简体"/>
          <w:sz w:val="32"/>
          <w:szCs w:val="32"/>
        </w:rPr>
        <w:t>一、</w:t>
      </w:r>
      <w:bookmarkEnd w:id="83"/>
      <w:bookmarkEnd w:id="84"/>
      <w:r>
        <w:rPr>
          <w:rFonts w:hint="eastAsia" w:ascii="方正小标宋简体" w:hAnsi="方正小标宋简体" w:eastAsia="方正小标宋简体" w:cs="方正小标宋简体"/>
          <w:sz w:val="32"/>
          <w:szCs w:val="32"/>
        </w:rPr>
        <w:t>律师事务所执业许可证</w:t>
      </w:r>
    </w:p>
    <w:p w14:paraId="2B13B945">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bookmarkStart w:id="85" w:name="_Toc5261"/>
      <w:bookmarkStart w:id="86" w:name="_Toc19849"/>
      <w:r>
        <w:rPr>
          <w:rFonts w:hint="eastAsia" w:ascii="仿宋_GB2312" w:hAnsi="仿宋_GB2312" w:cs="仿宋_GB2312"/>
          <w:color w:val="000000" w:themeColor="text1"/>
          <w:sz w:val="28"/>
          <w:szCs w:val="28"/>
          <w14:textFill>
            <w14:solidFill>
              <w14:schemeClr w14:val="tx1"/>
            </w14:solidFill>
          </w14:textFill>
        </w:rPr>
        <w:t>提供扫描件或复印件，加盖公章。</w:t>
      </w:r>
    </w:p>
    <w:p w14:paraId="4C6670FA">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3F250B4">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DECEBBF">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3BA2488">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5FB4787">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1F44A1E">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CC1D59A">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42EEA18">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A2C321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0529EC4">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3D6924E1">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4B8E2EEE">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43BD3A81">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0859E7D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6AD40C3D">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88053D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F6A3196">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592EA1FA">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207E8FEC">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3A688119">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6329A3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32"/>
          <w:szCs w:val="32"/>
        </w:rPr>
      </w:pPr>
      <w:bookmarkStart w:id="87" w:name="_Toc5721"/>
      <w:bookmarkStart w:id="88" w:name="_Toc763"/>
      <w:bookmarkStart w:id="89" w:name="_Toc9017_WPSOffice_Level1"/>
      <w:bookmarkStart w:id="90" w:name="_Toc17256_WPSOffice_Level1"/>
      <w:bookmarkStart w:id="91" w:name="_Toc11824_WPSOffice_Level1"/>
      <w:r>
        <w:rPr>
          <w:rFonts w:hint="eastAsia" w:ascii="方正小标宋简体" w:hAnsi="方正小标宋简体" w:eastAsia="方正小标宋简体" w:cs="方正小标宋简体"/>
          <w:sz w:val="32"/>
          <w:szCs w:val="32"/>
        </w:rPr>
        <w:t>二、无利益冲突和保密承诺函</w:t>
      </w:r>
      <w:bookmarkEnd w:id="87"/>
      <w:bookmarkEnd w:id="88"/>
      <w:bookmarkEnd w:id="89"/>
      <w:bookmarkEnd w:id="90"/>
      <w:bookmarkEnd w:id="91"/>
    </w:p>
    <w:p w14:paraId="36E4059E">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28"/>
          <w:szCs w:val="28"/>
        </w:rPr>
      </w:pPr>
    </w:p>
    <w:p w14:paraId="73CEAD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u w:val="single"/>
          <w:lang w:val="en-US" w:bidi="zh-CN"/>
        </w:rPr>
      </w:pPr>
      <w:r>
        <w:rPr>
          <w:rFonts w:hint="eastAsia" w:ascii="仿宋" w:hAnsi="仿宋" w:eastAsia="仿宋" w:cs="仿宋"/>
          <w:sz w:val="28"/>
          <w:szCs w:val="28"/>
          <w:lang w:bidi="zh-CN"/>
        </w:rPr>
        <w:t>致:</w:t>
      </w:r>
      <w:r>
        <w:rPr>
          <w:rFonts w:hint="eastAsia" w:ascii="仿宋" w:hAnsi="仿宋" w:eastAsia="仿宋" w:cs="仿宋"/>
          <w:sz w:val="28"/>
          <w:szCs w:val="28"/>
          <w:u w:val="single"/>
          <w:lang w:bidi="zh-CN"/>
        </w:rPr>
        <w:t xml:space="preserve"> </w:t>
      </w:r>
      <w:bookmarkStart w:id="92" w:name="OLE_LINK9"/>
      <w:r>
        <w:rPr>
          <w:rFonts w:hint="eastAsia" w:ascii="仿宋" w:hAnsi="仿宋" w:eastAsia="仿宋" w:cs="仿宋"/>
          <w:sz w:val="28"/>
          <w:szCs w:val="28"/>
          <w:u w:val="single"/>
          <w:lang w:bidi="zh-CN"/>
        </w:rPr>
        <w:t>安徽</w:t>
      </w:r>
      <w:r>
        <w:rPr>
          <w:rFonts w:hint="eastAsia" w:ascii="仿宋" w:hAnsi="仿宋" w:eastAsia="仿宋" w:cs="仿宋"/>
          <w:sz w:val="28"/>
          <w:szCs w:val="28"/>
          <w:u w:val="single"/>
          <w:lang w:val="en-US" w:bidi="zh-CN"/>
        </w:rPr>
        <w:t>文化旅游投资集团有限责任公司</w:t>
      </w:r>
    </w:p>
    <w:bookmarkEnd w:id="92"/>
    <w:p w14:paraId="27179AE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bidi="zh-CN"/>
        </w:rPr>
      </w:pPr>
      <w:r>
        <w:rPr>
          <w:rFonts w:hint="eastAsia" w:ascii="仿宋" w:hAnsi="仿宋" w:eastAsia="仿宋" w:cs="仿宋"/>
          <w:sz w:val="28"/>
          <w:szCs w:val="28"/>
          <w:lang w:bidi="zh-CN"/>
        </w:rPr>
        <w:t>关于参加</w:t>
      </w:r>
      <w:bookmarkStart w:id="93" w:name="OLE_LINK10"/>
      <w:bookmarkStart w:id="94" w:name="OLE_LINK13"/>
      <w:r>
        <w:rPr>
          <w:rFonts w:hint="eastAsia" w:ascii="仿宋" w:hAnsi="仿宋" w:eastAsia="仿宋" w:cs="仿宋"/>
          <w:sz w:val="28"/>
          <w:szCs w:val="28"/>
          <w:lang w:val="en-US" w:eastAsia="zh-CN"/>
        </w:rPr>
        <w:t>金寨红色文化发展有限公司注销全过程</w:t>
      </w:r>
      <w:bookmarkEnd w:id="93"/>
      <w:r>
        <w:rPr>
          <w:rFonts w:hint="eastAsia" w:ascii="仿宋" w:hAnsi="仿宋" w:eastAsia="仿宋" w:cs="仿宋"/>
          <w:sz w:val="28"/>
          <w:szCs w:val="28"/>
          <w:lang w:val="en-US" w:eastAsia="zh-CN" w:bidi="zh-CN"/>
        </w:rPr>
        <w:t>法律</w:t>
      </w:r>
      <w:bookmarkStart w:id="95" w:name="OLE_LINK12"/>
      <w:r>
        <w:rPr>
          <w:rFonts w:hint="eastAsia" w:ascii="仿宋" w:hAnsi="仿宋" w:eastAsia="仿宋" w:cs="仿宋"/>
          <w:sz w:val="28"/>
          <w:szCs w:val="28"/>
          <w:lang w:val="en-US" w:eastAsia="zh-CN" w:bidi="zh-CN"/>
        </w:rPr>
        <w:t>专项</w:t>
      </w:r>
      <w:bookmarkEnd w:id="95"/>
      <w:r>
        <w:rPr>
          <w:rFonts w:hint="eastAsia" w:ascii="仿宋" w:hAnsi="仿宋" w:eastAsia="仿宋" w:cs="仿宋"/>
          <w:sz w:val="28"/>
          <w:szCs w:val="28"/>
          <w:lang w:val="en-US" w:eastAsia="zh-CN" w:bidi="zh-CN"/>
        </w:rPr>
        <w:t>服务</w:t>
      </w:r>
      <w:bookmarkEnd w:id="94"/>
      <w:r>
        <w:rPr>
          <w:rFonts w:hint="eastAsia" w:ascii="仿宋" w:hAnsi="仿宋" w:eastAsia="仿宋" w:cs="仿宋"/>
          <w:sz w:val="28"/>
          <w:szCs w:val="28"/>
          <w:lang w:bidi="zh-CN"/>
        </w:rPr>
        <w:t>询比事宜，我方作出如下承诺：</w:t>
      </w:r>
    </w:p>
    <w:p w14:paraId="50144E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bidi="zh-CN"/>
        </w:rPr>
      </w:pPr>
      <w:r>
        <w:rPr>
          <w:rFonts w:hint="eastAsia" w:ascii="仿宋" w:hAnsi="仿宋" w:eastAsia="仿宋" w:cs="仿宋"/>
          <w:sz w:val="28"/>
          <w:szCs w:val="28"/>
          <w:lang w:bidi="zh-CN"/>
        </w:rPr>
        <w:t>提交参选材料时，未办理与</w:t>
      </w:r>
      <w:bookmarkStart w:id="96" w:name="OLE_LINK35"/>
      <w:r>
        <w:rPr>
          <w:rFonts w:hint="eastAsia" w:ascii="仿宋" w:hAnsi="仿宋" w:eastAsia="仿宋" w:cs="仿宋"/>
          <w:sz w:val="28"/>
          <w:szCs w:val="28"/>
          <w:lang w:val="en-US" w:eastAsia="zh-CN"/>
        </w:rPr>
        <w:t>金寨红色文化发展有限公司</w:t>
      </w:r>
      <w:bookmarkEnd w:id="96"/>
      <w:r>
        <w:rPr>
          <w:rFonts w:hint="eastAsia" w:ascii="仿宋" w:hAnsi="仿宋" w:eastAsia="仿宋" w:cs="仿宋"/>
          <w:sz w:val="28"/>
          <w:szCs w:val="28"/>
          <w:lang w:bidi="zh-CN"/>
        </w:rPr>
        <w:t>及其子公司有利益冲突的法律事务；受聘后，遵守</w:t>
      </w:r>
      <w:bookmarkStart w:id="97" w:name="OLE_LINK32"/>
      <w:bookmarkStart w:id="98" w:name="OLE_LINK11"/>
      <w:r>
        <w:rPr>
          <w:rFonts w:hint="eastAsia" w:ascii="仿宋" w:hAnsi="仿宋" w:eastAsia="仿宋" w:cs="仿宋"/>
          <w:sz w:val="28"/>
          <w:szCs w:val="28"/>
          <w:lang w:val="en-US" w:eastAsia="zh-CN"/>
        </w:rPr>
        <w:t>金寨红色文化发展有限公司</w:t>
      </w:r>
      <w:bookmarkEnd w:id="97"/>
      <w:r>
        <w:rPr>
          <w:rFonts w:hint="eastAsia" w:ascii="仿宋" w:hAnsi="仿宋" w:eastAsia="仿宋" w:cs="仿宋"/>
          <w:sz w:val="28"/>
          <w:szCs w:val="28"/>
          <w:lang w:val="en-US" w:eastAsia="zh-CN"/>
        </w:rPr>
        <w:t>注销全过程</w:t>
      </w:r>
      <w:bookmarkEnd w:id="98"/>
      <w:r>
        <w:rPr>
          <w:rFonts w:hint="eastAsia" w:ascii="仿宋" w:hAnsi="仿宋" w:eastAsia="仿宋" w:cs="仿宋"/>
          <w:sz w:val="28"/>
          <w:szCs w:val="28"/>
          <w:lang w:val="en-US" w:eastAsia="zh-CN"/>
        </w:rPr>
        <w:t>法律</w:t>
      </w:r>
      <w:r>
        <w:rPr>
          <w:rFonts w:hint="eastAsia" w:ascii="仿宋" w:hAnsi="仿宋" w:eastAsia="仿宋" w:cs="仿宋"/>
          <w:sz w:val="28"/>
          <w:szCs w:val="28"/>
          <w:lang w:val="en-US" w:eastAsia="zh-CN" w:bidi="zh-CN"/>
        </w:rPr>
        <w:t>专项</w:t>
      </w:r>
      <w:r>
        <w:rPr>
          <w:rFonts w:hint="eastAsia" w:ascii="仿宋" w:hAnsi="仿宋" w:eastAsia="仿宋" w:cs="仿宋"/>
          <w:sz w:val="28"/>
          <w:szCs w:val="28"/>
          <w:lang w:bidi="zh-CN"/>
        </w:rPr>
        <w:t>服务相关要求，对因合作而获得的金寨红色文化发展有限公司及其子公司相关信息严格履行保密义务，采取一切措施防止泄露保密信息。不得同时担任与</w:t>
      </w:r>
      <w:r>
        <w:rPr>
          <w:rFonts w:hint="eastAsia" w:ascii="仿宋" w:hAnsi="仿宋" w:eastAsia="仿宋" w:cs="仿宋"/>
          <w:sz w:val="28"/>
          <w:szCs w:val="28"/>
          <w:lang w:val="en-US" w:eastAsia="zh-CN"/>
        </w:rPr>
        <w:t>金寨红色文化发展有限公司</w:t>
      </w:r>
      <w:r>
        <w:rPr>
          <w:rFonts w:hint="eastAsia" w:ascii="仿宋" w:hAnsi="仿宋" w:eastAsia="仿宋" w:cs="仿宋"/>
          <w:sz w:val="28"/>
          <w:szCs w:val="28"/>
          <w:lang w:bidi="zh-CN"/>
        </w:rPr>
        <w:t>及其子公司具有竞争性质或存在诉讼利益冲突公司的诉讼或仲裁案件的代理人。</w:t>
      </w:r>
    </w:p>
    <w:p w14:paraId="59D0B5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bidi="zh-CN"/>
        </w:rPr>
      </w:pPr>
    </w:p>
    <w:p w14:paraId="7FBC7981">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仿宋" w:hAnsi="仿宋" w:eastAsia="仿宋" w:cs="仿宋"/>
          <w:color w:val="000000" w:themeColor="text1"/>
          <w:kern w:val="44"/>
          <w:sz w:val="28"/>
          <w:szCs w:val="28"/>
          <w14:textFill>
            <w14:solidFill>
              <w14:schemeClr w14:val="tx1"/>
            </w14:solidFill>
          </w14:textFill>
        </w:rPr>
      </w:pPr>
      <w:r>
        <w:rPr>
          <w:rFonts w:hint="eastAsia" w:ascii="仿宋" w:hAnsi="仿宋" w:eastAsia="仿宋" w:cs="仿宋"/>
          <w:sz w:val="28"/>
          <w:szCs w:val="28"/>
          <w:lang w:bidi="zh-CN"/>
        </w:rPr>
        <w:t xml:space="preserve">                           </w:t>
      </w:r>
      <w:r>
        <w:rPr>
          <w:rFonts w:hint="eastAsia" w:ascii="仿宋" w:hAnsi="仿宋" w:eastAsia="仿宋" w:cs="仿宋"/>
          <w:color w:val="000000" w:themeColor="text1"/>
          <w:kern w:val="44"/>
          <w:sz w:val="28"/>
          <w:szCs w:val="28"/>
          <w14:textFill>
            <w14:solidFill>
              <w14:schemeClr w14:val="tx1"/>
            </w14:solidFill>
          </w14:textFill>
        </w:rPr>
        <w:t xml:space="preserve"> 参比单位（盖章）：</w:t>
      </w:r>
    </w:p>
    <w:p w14:paraId="653CEF22">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hint="eastAsia" w:ascii="仿宋" w:hAnsi="仿宋" w:eastAsia="仿宋" w:cs="仿宋"/>
          <w:color w:val="000000" w:themeColor="text1"/>
          <w:kern w:val="44"/>
          <w:sz w:val="28"/>
          <w:szCs w:val="28"/>
          <w14:textFill>
            <w14:solidFill>
              <w14:schemeClr w14:val="tx1"/>
            </w14:solidFill>
          </w14:textFill>
        </w:rPr>
      </w:pPr>
    </w:p>
    <w:p w14:paraId="111BA079">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仿宋" w:hAnsi="仿宋" w:eastAsia="仿宋" w:cs="仿宋"/>
          <w:color w:val="000000" w:themeColor="text1"/>
          <w:kern w:val="44"/>
          <w:sz w:val="28"/>
          <w:szCs w:val="28"/>
          <w14:textFill>
            <w14:solidFill>
              <w14:schemeClr w14:val="tx1"/>
            </w14:solidFill>
          </w14:textFill>
        </w:rPr>
      </w:pPr>
      <w:r>
        <w:rPr>
          <w:rFonts w:hint="eastAsia" w:ascii="仿宋" w:hAnsi="仿宋" w:eastAsia="仿宋" w:cs="仿宋"/>
          <w:color w:val="000000" w:themeColor="text1"/>
          <w:kern w:val="44"/>
          <w:sz w:val="28"/>
          <w:szCs w:val="28"/>
          <w14:textFill>
            <w14:solidFill>
              <w14:schemeClr w14:val="tx1"/>
            </w14:solidFill>
          </w14:textFill>
        </w:rPr>
        <w:t xml:space="preserve">             法定代表人或委托代理人（签字）：</w:t>
      </w:r>
    </w:p>
    <w:p w14:paraId="478FEEC6">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rPr>
          <w:rFonts w:hint="eastAsia" w:ascii="仿宋" w:hAnsi="仿宋" w:eastAsia="仿宋" w:cs="仿宋"/>
          <w:color w:val="000000" w:themeColor="text1"/>
          <w:kern w:val="44"/>
          <w:sz w:val="28"/>
          <w:szCs w:val="28"/>
          <w14:textFill>
            <w14:solidFill>
              <w14:schemeClr w14:val="tx1"/>
            </w14:solidFill>
          </w14:textFill>
        </w:rPr>
      </w:pPr>
    </w:p>
    <w:p w14:paraId="14FB6997">
      <w:pPr>
        <w:pStyle w:val="5"/>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right"/>
        <w:textAlignment w:val="auto"/>
        <w:outlineLvl w:val="0"/>
        <w:rPr>
          <w:rFonts w:hint="eastAsia" w:ascii="仿宋" w:hAnsi="仿宋" w:eastAsia="仿宋" w:cs="仿宋"/>
          <w:color w:val="000000" w:themeColor="text1"/>
          <w:kern w:val="44"/>
          <w:sz w:val="28"/>
          <w:szCs w:val="28"/>
          <w14:textFill>
            <w14:solidFill>
              <w14:schemeClr w14:val="tx1"/>
            </w14:solidFill>
          </w14:textFill>
        </w:rPr>
      </w:pPr>
      <w:r>
        <w:rPr>
          <w:rFonts w:hint="eastAsia" w:ascii="仿宋" w:hAnsi="仿宋" w:eastAsia="仿宋" w:cs="仿宋"/>
          <w:color w:val="000000" w:themeColor="text1"/>
          <w:kern w:val="44"/>
          <w:sz w:val="28"/>
          <w:szCs w:val="28"/>
          <w14:textFill>
            <w14:solidFill>
              <w14:schemeClr w14:val="tx1"/>
            </w14:solidFill>
          </w14:textFill>
        </w:rPr>
        <w:t xml:space="preserve"> 年   月   日</w:t>
      </w:r>
    </w:p>
    <w:p w14:paraId="1C268D00">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Cs w:val="32"/>
        </w:rPr>
      </w:pPr>
    </w:p>
    <w:p w14:paraId="593915BD">
      <w:pPr>
        <w:pStyle w:val="5"/>
        <w:spacing w:after="0" w:line="540" w:lineRule="exact"/>
        <w:jc w:val="center"/>
        <w:outlineLvl w:val="0"/>
        <w:rPr>
          <w:rFonts w:ascii="方正小标宋_GBK" w:hAnsi="方正小标宋_GBK" w:eastAsia="方正小标宋_GBK" w:cs="方正小标宋_GBK"/>
          <w:szCs w:val="32"/>
        </w:rPr>
      </w:pPr>
    </w:p>
    <w:p w14:paraId="5BAFB699">
      <w:pPr>
        <w:pStyle w:val="5"/>
        <w:spacing w:after="0" w:line="540" w:lineRule="exact"/>
        <w:jc w:val="center"/>
        <w:outlineLvl w:val="0"/>
        <w:rPr>
          <w:rFonts w:ascii="方正小标宋_GBK" w:hAnsi="方正小标宋_GBK" w:eastAsia="方正小标宋_GBK" w:cs="方正小标宋_GBK"/>
          <w:szCs w:val="32"/>
        </w:rPr>
      </w:pPr>
    </w:p>
    <w:p w14:paraId="2B170642">
      <w:pPr>
        <w:pStyle w:val="5"/>
        <w:spacing w:after="0" w:line="540" w:lineRule="exact"/>
        <w:jc w:val="center"/>
        <w:outlineLvl w:val="0"/>
        <w:rPr>
          <w:rFonts w:ascii="方正小标宋_GBK" w:hAnsi="方正小标宋_GBK" w:eastAsia="方正小标宋_GBK" w:cs="方正小标宋_GBK"/>
          <w:szCs w:val="32"/>
        </w:rPr>
      </w:pPr>
    </w:p>
    <w:p w14:paraId="0D4F82C1">
      <w:pPr>
        <w:pStyle w:val="5"/>
        <w:spacing w:after="0" w:line="540" w:lineRule="exact"/>
        <w:jc w:val="center"/>
        <w:outlineLvl w:val="0"/>
        <w:rPr>
          <w:rFonts w:ascii="方正小标宋_GBK" w:hAnsi="方正小标宋_GBK" w:eastAsia="方正小标宋_GBK" w:cs="方正小标宋_GBK"/>
          <w:szCs w:val="32"/>
        </w:rPr>
      </w:pPr>
    </w:p>
    <w:p w14:paraId="65E64E93">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三、团队人员情况</w:t>
      </w:r>
    </w:p>
    <w:p w14:paraId="0045C701">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p>
    <w:p w14:paraId="1D37D60E">
      <w:pPr>
        <w:pStyle w:val="5"/>
        <w:spacing w:after="0" w:line="540" w:lineRule="exact"/>
        <w:ind w:firstLine="560" w:firstLineChars="200"/>
        <w:jc w:val="left"/>
        <w:outlineLvl w:val="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包括：项目团队负责人、团队成员</w:t>
      </w:r>
      <w:r>
        <w:rPr>
          <w:rFonts w:hint="eastAsia" w:ascii="仿宋_GB2312" w:hAnsi="仿宋_GB2312" w:cs="仿宋_GB2312"/>
          <w:color w:val="000000" w:themeColor="text1"/>
          <w:sz w:val="28"/>
          <w:szCs w:val="28"/>
          <w:lang w:val="en-US" w:eastAsia="zh-CN"/>
          <w14:textFill>
            <w14:solidFill>
              <w14:schemeClr w14:val="tx1"/>
            </w14:solidFill>
          </w14:textFill>
        </w:rPr>
        <w:t>名单</w:t>
      </w:r>
      <w:r>
        <w:rPr>
          <w:rFonts w:hint="eastAsia" w:ascii="仿宋_GB2312" w:hAnsi="仿宋_GB2312" w:cs="仿宋_GB2312"/>
          <w:color w:val="000000" w:themeColor="text1"/>
          <w:sz w:val="28"/>
          <w:szCs w:val="28"/>
          <w14:textFill>
            <w14:solidFill>
              <w14:schemeClr w14:val="tx1"/>
            </w14:solidFill>
          </w14:textFill>
        </w:rPr>
        <w:t>、逐条对照供应商资格条件提供各类资格证书。</w:t>
      </w:r>
    </w:p>
    <w:p w14:paraId="51164765">
      <w:pPr>
        <w:pStyle w:val="5"/>
        <w:spacing w:after="0" w:line="540" w:lineRule="exact"/>
        <w:jc w:val="center"/>
        <w:outlineLvl w:val="0"/>
        <w:rPr>
          <w:rFonts w:ascii="方正小标宋_GBK" w:hAnsi="方正小标宋_GBK" w:eastAsia="方正小标宋_GBK" w:cs="方正小标宋_GBK"/>
          <w:szCs w:val="32"/>
        </w:rPr>
      </w:pPr>
    </w:p>
    <w:p w14:paraId="179D91AF">
      <w:pPr>
        <w:pStyle w:val="5"/>
        <w:spacing w:after="0" w:line="540" w:lineRule="exact"/>
        <w:jc w:val="center"/>
        <w:outlineLvl w:val="0"/>
        <w:rPr>
          <w:rFonts w:ascii="方正小标宋_GBK" w:hAnsi="方正小标宋_GBK" w:eastAsia="方正小标宋_GBK" w:cs="方正小标宋_GBK"/>
          <w:szCs w:val="32"/>
        </w:rPr>
      </w:pPr>
    </w:p>
    <w:p w14:paraId="4F3EEB2B">
      <w:pPr>
        <w:pStyle w:val="5"/>
        <w:spacing w:after="0" w:line="540" w:lineRule="exact"/>
        <w:jc w:val="center"/>
        <w:outlineLvl w:val="0"/>
        <w:rPr>
          <w:rFonts w:ascii="方正小标宋_GBK" w:hAnsi="方正小标宋_GBK" w:eastAsia="方正小标宋_GBK" w:cs="方正小标宋_GBK"/>
          <w:szCs w:val="32"/>
        </w:rPr>
      </w:pPr>
    </w:p>
    <w:p w14:paraId="40F90064">
      <w:pPr>
        <w:pStyle w:val="5"/>
        <w:spacing w:after="0" w:line="540" w:lineRule="exact"/>
        <w:jc w:val="center"/>
        <w:outlineLvl w:val="0"/>
        <w:rPr>
          <w:rFonts w:ascii="方正小标宋_GBK" w:hAnsi="方正小标宋_GBK" w:eastAsia="方正小标宋_GBK" w:cs="方正小标宋_GBK"/>
          <w:szCs w:val="32"/>
        </w:rPr>
      </w:pPr>
    </w:p>
    <w:p w14:paraId="3EF9EC31">
      <w:pPr>
        <w:pStyle w:val="5"/>
        <w:spacing w:after="0" w:line="540" w:lineRule="exact"/>
        <w:jc w:val="center"/>
        <w:outlineLvl w:val="0"/>
        <w:rPr>
          <w:rFonts w:ascii="方正小标宋_GBK" w:hAnsi="方正小标宋_GBK" w:eastAsia="方正小标宋_GBK" w:cs="方正小标宋_GBK"/>
          <w:szCs w:val="32"/>
        </w:rPr>
      </w:pPr>
    </w:p>
    <w:p w14:paraId="362DE11A">
      <w:pPr>
        <w:pStyle w:val="5"/>
        <w:spacing w:after="0" w:line="540" w:lineRule="exact"/>
        <w:jc w:val="center"/>
        <w:outlineLvl w:val="0"/>
        <w:rPr>
          <w:rFonts w:ascii="方正小标宋_GBK" w:hAnsi="方正小标宋_GBK" w:eastAsia="方正小标宋_GBK" w:cs="方正小标宋_GBK"/>
          <w:szCs w:val="32"/>
        </w:rPr>
      </w:pPr>
    </w:p>
    <w:p w14:paraId="791405BD">
      <w:pPr>
        <w:pStyle w:val="5"/>
        <w:spacing w:after="0" w:line="540" w:lineRule="exact"/>
        <w:jc w:val="center"/>
        <w:outlineLvl w:val="0"/>
        <w:rPr>
          <w:rFonts w:ascii="方正小标宋_GBK" w:hAnsi="方正小标宋_GBK" w:eastAsia="方正小标宋_GBK" w:cs="方正小标宋_GBK"/>
          <w:szCs w:val="32"/>
        </w:rPr>
      </w:pPr>
    </w:p>
    <w:p w14:paraId="28074502">
      <w:pPr>
        <w:pStyle w:val="5"/>
        <w:spacing w:after="0" w:line="540" w:lineRule="exact"/>
        <w:jc w:val="center"/>
        <w:outlineLvl w:val="0"/>
        <w:rPr>
          <w:rFonts w:ascii="方正小标宋_GBK" w:hAnsi="方正小标宋_GBK" w:eastAsia="方正小标宋_GBK" w:cs="方正小标宋_GBK"/>
          <w:szCs w:val="32"/>
        </w:rPr>
      </w:pPr>
    </w:p>
    <w:p w14:paraId="113ACE0D">
      <w:pPr>
        <w:pStyle w:val="5"/>
        <w:spacing w:after="0" w:line="540" w:lineRule="exact"/>
        <w:jc w:val="center"/>
        <w:outlineLvl w:val="0"/>
        <w:rPr>
          <w:rFonts w:ascii="方正小标宋_GBK" w:hAnsi="方正小标宋_GBK" w:eastAsia="方正小标宋_GBK" w:cs="方正小标宋_GBK"/>
          <w:szCs w:val="32"/>
        </w:rPr>
      </w:pPr>
    </w:p>
    <w:p w14:paraId="5141A808">
      <w:pPr>
        <w:pStyle w:val="5"/>
        <w:spacing w:after="0" w:line="540" w:lineRule="exact"/>
        <w:jc w:val="center"/>
        <w:outlineLvl w:val="0"/>
        <w:rPr>
          <w:rFonts w:ascii="方正小标宋_GBK" w:hAnsi="方正小标宋_GBK" w:eastAsia="方正小标宋_GBK" w:cs="方正小标宋_GBK"/>
          <w:szCs w:val="32"/>
        </w:rPr>
      </w:pPr>
    </w:p>
    <w:p w14:paraId="60DE3BEC">
      <w:pPr>
        <w:pStyle w:val="5"/>
        <w:spacing w:after="0" w:line="540" w:lineRule="exact"/>
        <w:jc w:val="center"/>
        <w:outlineLvl w:val="0"/>
        <w:rPr>
          <w:rFonts w:ascii="方正小标宋_GBK" w:hAnsi="方正小标宋_GBK" w:eastAsia="方正小标宋_GBK" w:cs="方正小标宋_GBK"/>
          <w:szCs w:val="32"/>
        </w:rPr>
      </w:pPr>
    </w:p>
    <w:p w14:paraId="5E26D698">
      <w:pPr>
        <w:pStyle w:val="5"/>
        <w:spacing w:after="0" w:line="540" w:lineRule="exact"/>
        <w:jc w:val="center"/>
        <w:outlineLvl w:val="0"/>
        <w:rPr>
          <w:rFonts w:ascii="方正小标宋_GBK" w:hAnsi="方正小标宋_GBK" w:eastAsia="方正小标宋_GBK" w:cs="方正小标宋_GBK"/>
          <w:szCs w:val="32"/>
        </w:rPr>
      </w:pPr>
    </w:p>
    <w:p w14:paraId="70F81E0E">
      <w:pPr>
        <w:pStyle w:val="5"/>
        <w:spacing w:after="0" w:line="540" w:lineRule="exact"/>
        <w:jc w:val="center"/>
        <w:outlineLvl w:val="0"/>
        <w:rPr>
          <w:rFonts w:ascii="方正小标宋_GBK" w:hAnsi="方正小标宋_GBK" w:eastAsia="方正小标宋_GBK" w:cs="方正小标宋_GBK"/>
          <w:szCs w:val="32"/>
        </w:rPr>
      </w:pPr>
    </w:p>
    <w:p w14:paraId="3D1B0DB8">
      <w:pPr>
        <w:pStyle w:val="5"/>
        <w:spacing w:after="0" w:line="540" w:lineRule="exact"/>
        <w:jc w:val="center"/>
        <w:outlineLvl w:val="0"/>
        <w:rPr>
          <w:rFonts w:ascii="方正小标宋_GBK" w:hAnsi="方正小标宋_GBK" w:eastAsia="方正小标宋_GBK" w:cs="方正小标宋_GBK"/>
          <w:szCs w:val="32"/>
        </w:rPr>
      </w:pPr>
    </w:p>
    <w:p w14:paraId="1BC3F222">
      <w:pPr>
        <w:pStyle w:val="5"/>
        <w:spacing w:after="0" w:line="540" w:lineRule="exact"/>
        <w:jc w:val="center"/>
        <w:outlineLvl w:val="0"/>
        <w:rPr>
          <w:rFonts w:ascii="方正小标宋_GBK" w:hAnsi="方正小标宋_GBK" w:eastAsia="方正小标宋_GBK" w:cs="方正小标宋_GBK"/>
          <w:szCs w:val="32"/>
        </w:rPr>
      </w:pPr>
    </w:p>
    <w:p w14:paraId="6508F8EF">
      <w:pPr>
        <w:pStyle w:val="5"/>
        <w:spacing w:after="0" w:line="540" w:lineRule="exact"/>
        <w:jc w:val="center"/>
        <w:outlineLvl w:val="0"/>
        <w:rPr>
          <w:rFonts w:ascii="方正小标宋_GBK" w:hAnsi="方正小标宋_GBK" w:eastAsia="方正小标宋_GBK" w:cs="方正小标宋_GBK"/>
          <w:szCs w:val="32"/>
        </w:rPr>
      </w:pPr>
    </w:p>
    <w:p w14:paraId="34EDE813">
      <w:pPr>
        <w:pStyle w:val="5"/>
        <w:spacing w:after="0" w:line="540" w:lineRule="exact"/>
        <w:jc w:val="center"/>
        <w:outlineLvl w:val="0"/>
        <w:rPr>
          <w:rFonts w:ascii="方正小标宋_GBK" w:hAnsi="方正小标宋_GBK" w:eastAsia="方正小标宋_GBK" w:cs="方正小标宋_GBK"/>
          <w:szCs w:val="32"/>
        </w:rPr>
      </w:pPr>
    </w:p>
    <w:p w14:paraId="0249883B">
      <w:pPr>
        <w:pStyle w:val="5"/>
        <w:spacing w:after="0" w:line="540" w:lineRule="exact"/>
        <w:jc w:val="center"/>
        <w:outlineLvl w:val="0"/>
        <w:rPr>
          <w:rFonts w:ascii="方正小标宋_GBK" w:hAnsi="方正小标宋_GBK" w:eastAsia="方正小标宋_GBK" w:cs="方正小标宋_GBK"/>
          <w:szCs w:val="32"/>
        </w:rPr>
      </w:pPr>
    </w:p>
    <w:p w14:paraId="5B302C74">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四、法定代表人身份证明或授权委托书</w:t>
      </w:r>
      <w:bookmarkEnd w:id="85"/>
      <w:bookmarkEnd w:id="86"/>
    </w:p>
    <w:p w14:paraId="7E92AAEC">
      <w:pPr>
        <w:jc w:val="center"/>
        <w:outlineLvl w:val="0"/>
        <w:rPr>
          <w:rFonts w:ascii="黑体" w:hAnsi="黑体" w:eastAsia="黑体" w:cs="方正小标宋_GBK"/>
          <w:szCs w:val="32"/>
        </w:rPr>
      </w:pPr>
      <w:r>
        <w:rPr>
          <w:rFonts w:hint="eastAsia" w:ascii="黑体" w:hAnsi="黑体" w:eastAsia="黑体" w:cs="方正小标宋_GBK"/>
          <w:szCs w:val="32"/>
        </w:rPr>
        <w:t>(一) 法定代表人身份证明</w:t>
      </w:r>
    </w:p>
    <w:p w14:paraId="70DC3C7A">
      <w:pPr>
        <w:spacing w:line="520" w:lineRule="exact"/>
        <w:rPr>
          <w:color w:val="000000"/>
          <w:sz w:val="19"/>
          <w:szCs w:val="19"/>
        </w:rPr>
      </w:pPr>
      <w:r>
        <w:rPr>
          <w:color w:val="000000"/>
          <w:sz w:val="19"/>
          <w:szCs w:val="19"/>
        </w:rPr>
        <w:t xml:space="preserve"> </w:t>
      </w:r>
    </w:p>
    <w:p w14:paraId="12627CBD">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参比单位名称：</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w:t>
      </w:r>
    </w:p>
    <w:p w14:paraId="4372BF38">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单位性质：</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w:t>
      </w:r>
    </w:p>
    <w:p w14:paraId="37490E4B">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地    址：</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w:t>
      </w:r>
    </w:p>
    <w:p w14:paraId="51DD1E5C">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成立时间：</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 年</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 月</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 日</w:t>
      </w:r>
    </w:p>
    <w:p w14:paraId="3265C471">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经营期限：</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w:t>
      </w:r>
    </w:p>
    <w:p w14:paraId="01FB3E43">
      <w:pPr>
        <w:spacing w:line="520" w:lineRule="exact"/>
        <w:ind w:firstLine="560" w:firstLineChars="200"/>
        <w:jc w:val="left"/>
        <w:rPr>
          <w:rFonts w:ascii="仿宋_GB2312" w:hAnsi="仿宋_GB2312" w:cs="仿宋_GB2312"/>
          <w:color w:val="000000" w:themeColor="text1"/>
          <w:sz w:val="28"/>
          <w:szCs w:val="28"/>
          <w:u w:val="single"/>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姓    名：</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(法定代表人签字)  </w:t>
      </w:r>
    </w:p>
    <w:p w14:paraId="26B0823F">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职    务：</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系</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 (参比单位名称)的法定代表人。</w:t>
      </w:r>
    </w:p>
    <w:p w14:paraId="1CFD9112">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电    话：</w:t>
      </w:r>
    </w:p>
    <w:p w14:paraId="1287330F">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特此证明。</w:t>
      </w:r>
    </w:p>
    <w:p w14:paraId="513397DC">
      <w:pPr>
        <w:spacing w:line="520" w:lineRule="exact"/>
        <w:ind w:firstLine="560" w:firstLineChars="200"/>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附：法定代表人身份证复印件。</w:t>
      </w:r>
    </w:p>
    <w:p w14:paraId="790C23FF">
      <w:pPr>
        <w:spacing w:line="520" w:lineRule="exact"/>
        <w:rPr>
          <w:rFonts w:ascii="仿宋_GB2312" w:hAnsi="仿宋_GB2312" w:cs="仿宋_GB2312"/>
          <w:color w:val="000000" w:themeColor="text1"/>
          <w:sz w:val="28"/>
          <w:szCs w:val="28"/>
          <w14:textFill>
            <w14:solidFill>
              <w14:schemeClr w14:val="tx1"/>
            </w14:solidFill>
          </w14:textFill>
        </w:rPr>
      </w:pPr>
    </w:p>
    <w:p w14:paraId="18911F3E">
      <w:pPr>
        <w:spacing w:line="520" w:lineRule="exac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 xml:space="preserve"> </w:t>
      </w:r>
    </w:p>
    <w:p w14:paraId="3B70CBA4">
      <w:pPr>
        <w:spacing w:line="520" w:lineRule="exact"/>
        <w:rPr>
          <w:rFonts w:ascii="仿宋_GB2312" w:hAnsi="仿宋_GB2312" w:cs="仿宋_GB2312"/>
          <w:color w:val="000000" w:themeColor="text1"/>
          <w:sz w:val="28"/>
          <w:szCs w:val="28"/>
          <w14:textFill>
            <w14:solidFill>
              <w14:schemeClr w14:val="tx1"/>
            </w14:solidFill>
          </w14:textFill>
        </w:rPr>
      </w:pPr>
    </w:p>
    <w:p w14:paraId="1DC96C09">
      <w:pPr>
        <w:spacing w:line="520" w:lineRule="exact"/>
        <w:ind w:left="560" w:hanging="560" w:hangingChars="200"/>
        <w:jc w:val="righ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14:textFill>
            <w14:solidFill>
              <w14:schemeClr w14:val="tx1"/>
            </w14:solidFill>
          </w14:textFill>
        </w:rPr>
        <w:t>参比单位：</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(盖单位章)</w:t>
      </w:r>
    </w:p>
    <w:p w14:paraId="1BDFE6F9">
      <w:pPr>
        <w:spacing w:line="520" w:lineRule="exact"/>
        <w:ind w:left="560" w:hanging="560" w:hangingChars="200"/>
        <w:jc w:val="right"/>
        <w:rPr>
          <w:rFonts w:ascii="仿宋_GB2312" w:hAnsi="仿宋_GB2312" w:cs="仿宋_GB2312"/>
          <w:color w:val="000000" w:themeColor="text1"/>
          <w:sz w:val="28"/>
          <w:szCs w:val="28"/>
          <w14:textFill>
            <w14:solidFill>
              <w14:schemeClr w14:val="tx1"/>
            </w14:solidFill>
          </w14:textFill>
        </w:rPr>
      </w:pP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年</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月</w:t>
      </w:r>
      <w:r>
        <w:rPr>
          <w:rFonts w:hint="eastAsia" w:ascii="仿宋_GB2312" w:hAnsi="仿宋_GB2312" w:cs="仿宋_GB2312"/>
          <w:color w:val="000000" w:themeColor="text1"/>
          <w:sz w:val="28"/>
          <w:szCs w:val="28"/>
          <w:u w:val="single"/>
          <w14:textFill>
            <w14:solidFill>
              <w14:schemeClr w14:val="tx1"/>
            </w14:solidFill>
          </w14:textFill>
        </w:rPr>
        <w:t xml:space="preserve">      </w:t>
      </w:r>
      <w:r>
        <w:rPr>
          <w:rFonts w:hint="eastAsia" w:ascii="仿宋_GB2312" w:hAnsi="仿宋_GB2312" w:cs="仿宋_GB2312"/>
          <w:color w:val="000000" w:themeColor="text1"/>
          <w:sz w:val="28"/>
          <w:szCs w:val="28"/>
          <w14:textFill>
            <w14:solidFill>
              <w14:schemeClr w14:val="tx1"/>
            </w14:solidFill>
          </w14:textFill>
        </w:rPr>
        <w:t xml:space="preserve">日                                </w:t>
      </w:r>
      <w:r>
        <w:rPr>
          <w:rFonts w:hint="eastAsia" w:ascii="仿宋_GB2312" w:hAnsi="仿宋_GB2312" w:cs="仿宋_GB2312"/>
          <w:color w:val="000000" w:themeColor="text1"/>
          <w:sz w:val="28"/>
          <w:szCs w:val="28"/>
          <w:u w:val="single"/>
          <w14:textFill>
            <w14:solidFill>
              <w14:schemeClr w14:val="tx1"/>
            </w14:solidFill>
          </w14:textFill>
        </w:rPr>
        <w:t xml:space="preserve">                 </w:t>
      </w:r>
    </w:p>
    <w:p w14:paraId="4AA8AA47">
      <w:pPr>
        <w:topLinePunct/>
        <w:spacing w:line="520" w:lineRule="exact"/>
        <w:ind w:firstLine="560" w:firstLineChars="200"/>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注：</w:t>
      </w:r>
    </w:p>
    <w:p w14:paraId="5C78A8CA">
      <w:pPr>
        <w:topLinePunct/>
        <w:spacing w:line="520" w:lineRule="exact"/>
        <w:ind w:firstLine="560" w:firstLineChars="200"/>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w:t>
      </w:r>
      <w:r>
        <w:rPr>
          <w:rFonts w:hint="eastAsia" w:ascii="楷体" w:hAnsi="楷体" w:eastAsia="楷体" w:cs="楷体"/>
          <w:sz w:val="28"/>
          <w:szCs w:val="28"/>
        </w:rPr>
        <w:t>、</w:t>
      </w:r>
      <w:r>
        <w:rPr>
          <w:rFonts w:hint="eastAsia" w:ascii="楷体" w:hAnsi="楷体" w:eastAsia="楷体" w:cs="楷体"/>
          <w:color w:val="000000" w:themeColor="text1"/>
          <w:sz w:val="28"/>
          <w:szCs w:val="28"/>
          <w14:textFill>
            <w14:solidFill>
              <w14:schemeClr w14:val="tx1"/>
            </w14:solidFill>
          </w14:textFill>
        </w:rPr>
        <w:t>本身份证明需由参比单位加盖单位公章。</w:t>
      </w:r>
    </w:p>
    <w:p w14:paraId="3AF4FB40">
      <w:pPr>
        <w:topLinePunct/>
        <w:spacing w:line="520" w:lineRule="exact"/>
        <w:ind w:firstLine="560" w:firstLineChars="200"/>
        <w:rPr>
          <w:rFonts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sz w:val="28"/>
          <w:szCs w:val="28"/>
        </w:rPr>
        <w:t>、</w:t>
      </w:r>
      <w:r>
        <w:rPr>
          <w:rFonts w:hint="eastAsia" w:ascii="楷体" w:hAnsi="楷体" w:eastAsia="楷体" w:cs="楷体"/>
          <w:color w:val="000000" w:themeColor="text1"/>
          <w:sz w:val="28"/>
          <w:szCs w:val="28"/>
          <w14:textFill>
            <w14:solidFill>
              <w14:schemeClr w14:val="tx1"/>
            </w14:solidFill>
          </w14:textFill>
        </w:rPr>
        <w:t>法定代表人的签字必须签名，可以亲笔签名或使用印章、签名章。</w:t>
      </w:r>
    </w:p>
    <w:p w14:paraId="274D6B73">
      <w:pPr>
        <w:widowControl/>
        <w:jc w:val="left"/>
        <w:rPr>
          <w:rFonts w:ascii="仿宋" w:hAnsi="仿宋" w:eastAsia="仿宋"/>
          <w:b/>
          <w:bCs/>
          <w:color w:val="000000"/>
          <w:szCs w:val="32"/>
        </w:rPr>
      </w:pPr>
      <w:r>
        <w:rPr>
          <w:rFonts w:ascii="仿宋" w:hAnsi="仿宋" w:eastAsia="仿宋"/>
          <w:b/>
          <w:bCs/>
          <w:color w:val="000000"/>
          <w:szCs w:val="32"/>
        </w:rPr>
        <w:br w:type="page"/>
      </w:r>
    </w:p>
    <w:p w14:paraId="789BC22C">
      <w:pPr>
        <w:spacing w:line="520" w:lineRule="exact"/>
        <w:jc w:val="center"/>
        <w:rPr>
          <w:rFonts w:ascii="黑体" w:hAnsi="黑体" w:eastAsia="黑体" w:cs="仿宋_GB2312"/>
          <w:bCs/>
          <w:color w:val="000000" w:themeColor="text1"/>
          <w:sz w:val="28"/>
          <w:szCs w:val="28"/>
          <w14:textFill>
            <w14:solidFill>
              <w14:schemeClr w14:val="tx1"/>
            </w14:solidFill>
          </w14:textFill>
        </w:rPr>
      </w:pPr>
      <w:r>
        <w:rPr>
          <w:rFonts w:hint="eastAsia" w:ascii="黑体" w:hAnsi="黑体" w:eastAsia="黑体" w:cs="仿宋_GB2312"/>
          <w:bCs/>
          <w:color w:val="000000" w:themeColor="text1"/>
          <w:sz w:val="28"/>
          <w:szCs w:val="28"/>
          <w14:textFill>
            <w14:solidFill>
              <w14:schemeClr w14:val="tx1"/>
            </w14:solidFill>
          </w14:textFill>
        </w:rPr>
        <w:t>(二) 授权委托书</w:t>
      </w:r>
    </w:p>
    <w:p w14:paraId="4A566DE9">
      <w:pPr>
        <w:pStyle w:val="13"/>
        <w:ind w:left="640" w:firstLine="640"/>
      </w:pPr>
    </w:p>
    <w:p w14:paraId="400A3D4D">
      <w:pPr>
        <w:spacing w:line="52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本人</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（姓名）系</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（参比单位名称）的法定代表人，现委托</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（姓名）为我方代理人，联系电话：</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。代理人根据授权，以我方名义签署、澄清、递交、撤回、修改</w:t>
      </w:r>
      <w:r>
        <w:rPr>
          <w:rFonts w:hint="eastAsia" w:ascii="Times New Roman" w:hAnsi="仿宋_GB2312"/>
          <w:sz w:val="28"/>
          <w:szCs w:val="28"/>
          <w:lang w:val="en-US" w:eastAsia="zh-CN"/>
        </w:rPr>
        <w:t>金寨红色文化发展有限公司注销全过程</w:t>
      </w:r>
      <w:r>
        <w:rPr>
          <w:rFonts w:hint="eastAsia" w:ascii="仿宋_GB2312" w:hAnsi="仿宋_GB2312" w:cs="仿宋_GB2312"/>
          <w:sz w:val="28"/>
          <w:szCs w:val="28"/>
          <w:lang w:val="en-US" w:eastAsia="zh-CN" w:bidi="zh-CN"/>
        </w:rPr>
        <w:t>法律专项服务</w:t>
      </w:r>
      <w:r>
        <w:rPr>
          <w:rFonts w:hint="eastAsia" w:ascii="Times New Roman" w:hAnsi="Times New Roman"/>
          <w:color w:val="000000" w:themeColor="text1"/>
          <w:sz w:val="28"/>
          <w:szCs w:val="28"/>
          <w:lang w:val="en-US" w:eastAsia="zh-CN"/>
          <w14:textFill>
            <w14:solidFill>
              <w14:schemeClr w14:val="tx1"/>
            </w14:solidFill>
          </w14:textFill>
        </w:rPr>
        <w:t>参比</w:t>
      </w:r>
      <w:r>
        <w:rPr>
          <w:rFonts w:ascii="Times New Roman" w:hAnsi="Times New Roman"/>
          <w:color w:val="000000" w:themeColor="text1"/>
          <w:sz w:val="28"/>
          <w:szCs w:val="28"/>
          <w14:textFill>
            <w14:solidFill>
              <w14:schemeClr w14:val="tx1"/>
            </w14:solidFill>
          </w14:textFill>
        </w:rPr>
        <w:t>文件、签订合同和处理有关事宜，其法律后果由我方承担。</w:t>
      </w:r>
    </w:p>
    <w:p w14:paraId="360E6CC7">
      <w:pPr>
        <w:spacing w:line="52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委托期限：</w:t>
      </w:r>
      <w:r>
        <w:rPr>
          <w:rFonts w:ascii="Times New Roman" w:hAnsi="Times New Roman"/>
          <w:color w:val="000000" w:themeColor="text1"/>
          <w:sz w:val="28"/>
          <w:szCs w:val="28"/>
          <w:u w:val="single"/>
          <w14:textFill>
            <w14:solidFill>
              <w14:schemeClr w14:val="tx1"/>
            </w14:solidFill>
          </w14:textFill>
        </w:rPr>
        <w:t xml:space="preserve"> </w:t>
      </w:r>
      <w:r>
        <w:rPr>
          <w:rFonts w:hint="eastAsia" w:ascii="Times New Roman" w:hAnsi="Times New Roman"/>
          <w:color w:val="000000" w:themeColor="text1"/>
          <w:sz w:val="28"/>
          <w:szCs w:val="28"/>
          <w:u w:val="single"/>
          <w:lang w:val="en-US" w:eastAsia="zh-CN"/>
          <w14:textFill>
            <w14:solidFill>
              <w14:schemeClr w14:val="tx1"/>
            </w14:solidFill>
          </w14:textFill>
        </w:rPr>
        <w:t>至本项目询比结束</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w:t>
      </w:r>
    </w:p>
    <w:p w14:paraId="6BD93056">
      <w:pPr>
        <w:spacing w:line="52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代理人无转委托权。 </w:t>
      </w:r>
    </w:p>
    <w:p w14:paraId="7A3C260B">
      <w:pPr>
        <w:spacing w:line="520" w:lineRule="exact"/>
        <w:ind w:firstLine="560" w:firstLineChars="2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附：委托代理人身份证证明</w:t>
      </w:r>
    </w:p>
    <w:p w14:paraId="109167DA">
      <w:pPr>
        <w:spacing w:line="520" w:lineRule="exac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p>
    <w:p w14:paraId="69897262">
      <w:pPr>
        <w:spacing w:line="520" w:lineRule="exac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参比单位：</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（盖单位章）</w:t>
      </w:r>
    </w:p>
    <w:p w14:paraId="46905CD3">
      <w:pPr>
        <w:spacing w:line="520" w:lineRule="exac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法定代表人：</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（签字</w:t>
      </w:r>
      <w:r>
        <w:rPr>
          <w:rFonts w:hint="eastAsia" w:ascii="Times New Roman" w:hAnsi="Times New Roman"/>
          <w:color w:val="000000" w:themeColor="text1"/>
          <w:sz w:val="28"/>
          <w:szCs w:val="28"/>
          <w:lang w:val="en-US" w:eastAsia="zh-CN"/>
          <w14:textFill>
            <w14:solidFill>
              <w14:schemeClr w14:val="tx1"/>
            </w14:solidFill>
          </w14:textFill>
        </w:rPr>
        <w:t>或签章</w:t>
      </w:r>
      <w:r>
        <w:rPr>
          <w:rFonts w:ascii="Times New Roman" w:hAnsi="Times New Roman"/>
          <w:color w:val="000000" w:themeColor="text1"/>
          <w:sz w:val="28"/>
          <w:szCs w:val="28"/>
          <w14:textFill>
            <w14:solidFill>
              <w14:schemeClr w14:val="tx1"/>
            </w14:solidFill>
          </w14:textFill>
        </w:rPr>
        <w:t>）</w:t>
      </w:r>
    </w:p>
    <w:p w14:paraId="7A75E1BF">
      <w:pPr>
        <w:spacing w:line="520" w:lineRule="exac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bookmarkStart w:id="99" w:name="OLE_LINK14"/>
      <w:r>
        <w:rPr>
          <w:rFonts w:ascii="Times New Roman" w:hAnsi="Times New Roman"/>
          <w:color w:val="000000" w:themeColor="text1"/>
          <w:sz w:val="28"/>
          <w:szCs w:val="28"/>
          <w14:textFill>
            <w14:solidFill>
              <w14:schemeClr w14:val="tx1"/>
            </w14:solidFill>
          </w14:textFill>
        </w:rPr>
        <w:t>身份证号码：</w:t>
      </w:r>
      <w:r>
        <w:rPr>
          <w:rFonts w:ascii="Times New Roman" w:hAnsi="Times New Roman"/>
          <w:color w:val="000000" w:themeColor="text1"/>
          <w:sz w:val="28"/>
          <w:szCs w:val="28"/>
          <w:u w:val="single"/>
          <w14:textFill>
            <w14:solidFill>
              <w14:schemeClr w14:val="tx1"/>
            </w14:solidFill>
          </w14:textFill>
        </w:rPr>
        <w:t xml:space="preserve">                                </w:t>
      </w:r>
      <w:bookmarkEnd w:id="99"/>
      <w:r>
        <w:rPr>
          <w:rFonts w:ascii="Times New Roman" w:hAnsi="Times New Roman"/>
          <w:color w:val="000000" w:themeColor="text1"/>
          <w:sz w:val="28"/>
          <w:szCs w:val="28"/>
          <w:u w:val="single"/>
          <w14:textFill>
            <w14:solidFill>
              <w14:schemeClr w14:val="tx1"/>
            </w14:solidFill>
          </w14:textFill>
        </w:rPr>
        <w:t xml:space="preserve">    </w:t>
      </w:r>
    </w:p>
    <w:p w14:paraId="1B0244AB">
      <w:pPr>
        <w:spacing w:line="520" w:lineRule="exact"/>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委托代理人：</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（签字）</w:t>
      </w:r>
    </w:p>
    <w:p w14:paraId="071ABED6">
      <w:pPr>
        <w:spacing w:line="520" w:lineRule="exact"/>
        <w:rPr>
          <w:rFonts w:ascii="Times New Roman" w:hAnsi="Times New Roman"/>
          <w:color w:val="000000" w:themeColor="text1"/>
          <w:sz w:val="28"/>
          <w:szCs w:val="28"/>
          <w:u w:val="single"/>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身份证号码：</w:t>
      </w:r>
      <w:r>
        <w:rPr>
          <w:rFonts w:ascii="Times New Roman" w:hAnsi="Times New Roman"/>
          <w:color w:val="000000" w:themeColor="text1"/>
          <w:sz w:val="28"/>
          <w:szCs w:val="28"/>
          <w:u w:val="single"/>
          <w14:textFill>
            <w14:solidFill>
              <w14:schemeClr w14:val="tx1"/>
            </w14:solidFill>
          </w14:textFill>
        </w:rPr>
        <w:t xml:space="preserve">                                </w:t>
      </w:r>
    </w:p>
    <w:p w14:paraId="512CC2B2">
      <w:pPr>
        <w:spacing w:line="520" w:lineRule="exact"/>
        <w:rPr>
          <w:rFonts w:hint="eastAsia" w:ascii="Times New Roman" w:hAnsi="Times New Roman"/>
          <w:color w:val="000000" w:themeColor="text1"/>
          <w:sz w:val="28"/>
          <w:szCs w:val="28"/>
          <w:u w:val="none"/>
          <w:lang w:val="en-US" w:eastAsia="zh-CN"/>
          <w14:textFill>
            <w14:solidFill>
              <w14:schemeClr w14:val="tx1"/>
            </w14:solidFill>
          </w14:textFill>
        </w:rPr>
      </w:pPr>
      <w:r>
        <w:rPr>
          <w:rFonts w:hint="eastAsia" w:ascii="Times New Roman" w:hAnsi="Times New Roman"/>
          <w:color w:val="000000" w:themeColor="text1"/>
          <w:sz w:val="28"/>
          <w:szCs w:val="28"/>
          <w:u w:val="none"/>
          <w:lang w:val="en-US" w:eastAsia="zh-CN"/>
          <w14:textFill>
            <w14:solidFill>
              <w14:schemeClr w14:val="tx1"/>
            </w14:solidFill>
          </w14:textFill>
        </w:rPr>
        <w:t xml:space="preserve">                   </w:t>
      </w:r>
      <w:r>
        <w:rPr>
          <w:rFonts w:hint="eastAsia" w:ascii="Times New Roman" w:hAnsi="Times New Roman"/>
          <w:color w:val="000000" w:themeColor="text1"/>
          <w:sz w:val="28"/>
          <w:szCs w:val="28"/>
          <w:lang w:val="en-US" w:eastAsia="zh-CN"/>
          <w14:textFill>
            <w14:solidFill>
              <w14:schemeClr w14:val="tx1"/>
            </w14:solidFill>
          </w14:textFill>
        </w:rPr>
        <w:t>联系</w:t>
      </w:r>
      <w:r>
        <w:rPr>
          <w:rFonts w:ascii="Times New Roman" w:hAnsi="Times New Roman"/>
          <w:color w:val="000000" w:themeColor="text1"/>
          <w:sz w:val="28"/>
          <w:szCs w:val="28"/>
          <w14:textFill>
            <w14:solidFill>
              <w14:schemeClr w14:val="tx1"/>
            </w14:solidFill>
          </w14:textFill>
        </w:rPr>
        <w:t>号码：</w:t>
      </w:r>
      <w:r>
        <w:rPr>
          <w:rFonts w:ascii="Times New Roman" w:hAnsi="Times New Roman"/>
          <w:color w:val="000000" w:themeColor="text1"/>
          <w:sz w:val="28"/>
          <w:szCs w:val="28"/>
          <w:u w:val="single"/>
          <w14:textFill>
            <w14:solidFill>
              <w14:schemeClr w14:val="tx1"/>
            </w14:solidFill>
          </w14:textFill>
        </w:rPr>
        <w:t xml:space="preserve">                     </w:t>
      </w:r>
      <w:r>
        <w:rPr>
          <w:rFonts w:hint="eastAsia" w:ascii="Times New Roman" w:hAnsi="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color w:val="000000" w:themeColor="text1"/>
          <w:sz w:val="28"/>
          <w:szCs w:val="28"/>
          <w:u w:val="single"/>
          <w14:textFill>
            <w14:solidFill>
              <w14:schemeClr w14:val="tx1"/>
            </w14:solidFill>
          </w14:textFill>
        </w:rPr>
        <w:t xml:space="preserve">           </w:t>
      </w:r>
      <w:r>
        <w:rPr>
          <w:rFonts w:hint="eastAsia" w:ascii="Times New Roman" w:hAnsi="Times New Roman"/>
          <w:color w:val="000000" w:themeColor="text1"/>
          <w:sz w:val="28"/>
          <w:szCs w:val="28"/>
          <w:u w:val="none"/>
          <w:lang w:val="en-US" w:eastAsia="zh-CN"/>
          <w14:textFill>
            <w14:solidFill>
              <w14:schemeClr w14:val="tx1"/>
            </w14:solidFill>
          </w14:textFill>
        </w:rPr>
        <w:t xml:space="preserve"> </w:t>
      </w:r>
    </w:p>
    <w:p w14:paraId="6966302D">
      <w:pPr>
        <w:spacing w:line="520" w:lineRule="exact"/>
        <w:ind w:firstLine="1680" w:firstLineChars="60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年</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月</w:t>
      </w:r>
      <w:r>
        <w:rPr>
          <w:rFonts w:ascii="Times New Roman" w:hAnsi="Times New Roman"/>
          <w:color w:val="000000" w:themeColor="text1"/>
          <w:sz w:val="28"/>
          <w:szCs w:val="28"/>
          <w:u w:val="single"/>
          <w14:textFill>
            <w14:solidFill>
              <w14:schemeClr w14:val="tx1"/>
            </w14:solidFill>
          </w14:textFill>
        </w:rPr>
        <w:t xml:space="preserve">      </w:t>
      </w:r>
      <w:r>
        <w:rPr>
          <w:rFonts w:ascii="Times New Roman" w:hAnsi="Times New Roman"/>
          <w:color w:val="000000" w:themeColor="text1"/>
          <w:sz w:val="28"/>
          <w:szCs w:val="28"/>
          <w14:textFill>
            <w14:solidFill>
              <w14:schemeClr w14:val="tx1"/>
            </w14:solidFill>
          </w14:textFill>
        </w:rPr>
        <w:t>日</w:t>
      </w:r>
    </w:p>
    <w:p w14:paraId="37582032">
      <w:pPr>
        <w:topLinePunct/>
        <w:spacing w:line="520" w:lineRule="exact"/>
        <w:ind w:firstLine="560" w:firstLineChars="200"/>
        <w:rPr>
          <w:rFonts w:ascii="楷体" w:hAnsi="楷体" w:eastAsia="楷体" w:cs="楷体"/>
          <w:color w:val="000000" w:themeColor="text1"/>
          <w:sz w:val="28"/>
          <w:szCs w:val="28"/>
          <w14:textFill>
            <w14:solidFill>
              <w14:schemeClr w14:val="tx1"/>
            </w14:solidFill>
          </w14:textFill>
        </w:rPr>
      </w:pPr>
    </w:p>
    <w:p w14:paraId="4172DD4F">
      <w:pPr>
        <w:keepNext w:val="0"/>
        <w:keepLines w:val="0"/>
        <w:pageBreakBefore w:val="0"/>
        <w:widowControl w:val="0"/>
        <w:kinsoku/>
        <w:wordWrap/>
        <w:overflowPunct/>
        <w:topLinePunct/>
        <w:autoSpaceDE/>
        <w:autoSpaceDN/>
        <w:bidi w:val="0"/>
        <w:adjustRightInd/>
        <w:snapToGrid/>
        <w:spacing w:line="0" w:lineRule="atLeast"/>
        <w:ind w:firstLine="560" w:firstLineChars="200"/>
        <w:textAlignment w:val="auto"/>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注：1</w:t>
      </w:r>
      <w:r>
        <w:rPr>
          <w:rFonts w:hint="eastAsia" w:ascii="楷体" w:hAnsi="楷体" w:eastAsia="楷体" w:cs="楷体"/>
          <w:sz w:val="28"/>
          <w:szCs w:val="28"/>
        </w:rPr>
        <w:t>、</w:t>
      </w:r>
      <w:r>
        <w:rPr>
          <w:rFonts w:hint="eastAsia" w:ascii="楷体" w:hAnsi="楷体" w:eastAsia="楷体" w:cs="楷体"/>
          <w:color w:val="000000" w:themeColor="text1"/>
          <w:sz w:val="28"/>
          <w:szCs w:val="28"/>
          <w14:textFill>
            <w14:solidFill>
              <w14:schemeClr w14:val="tx1"/>
            </w14:solidFill>
          </w14:textFill>
        </w:rPr>
        <w:t>本授权委托书需由参比单位加盖单位公章并由其法定代表人和委托代理人签字。</w:t>
      </w:r>
    </w:p>
    <w:p w14:paraId="54BC2A32">
      <w:pPr>
        <w:keepNext w:val="0"/>
        <w:keepLines w:val="0"/>
        <w:pageBreakBefore w:val="0"/>
        <w:widowControl w:val="0"/>
        <w:kinsoku/>
        <w:wordWrap/>
        <w:overflowPunct/>
        <w:topLinePunct/>
        <w:autoSpaceDE/>
        <w:autoSpaceDN/>
        <w:bidi w:val="0"/>
        <w:adjustRightInd/>
        <w:snapToGrid/>
        <w:spacing w:line="0" w:lineRule="atLeast"/>
        <w:ind w:firstLine="560" w:firstLineChars="200"/>
        <w:textAlignment w:val="auto"/>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w:t>
      </w:r>
      <w:r>
        <w:rPr>
          <w:rFonts w:hint="eastAsia" w:ascii="楷体" w:hAnsi="楷体" w:eastAsia="楷体" w:cs="楷体"/>
          <w:sz w:val="28"/>
          <w:szCs w:val="28"/>
        </w:rPr>
        <w:t>、</w:t>
      </w:r>
      <w:r>
        <w:rPr>
          <w:rFonts w:hint="eastAsia" w:ascii="楷体" w:hAnsi="楷体" w:eastAsia="楷体" w:cs="楷体"/>
          <w:color w:val="000000" w:themeColor="text1"/>
          <w:sz w:val="28"/>
          <w:szCs w:val="28"/>
          <w14:textFill>
            <w14:solidFill>
              <w14:schemeClr w14:val="tx1"/>
            </w14:solidFill>
          </w14:textFill>
        </w:rPr>
        <w:t>法定代表人和委托代理人必须在授权书上亲笔签名，或者使用印章、签名章签名。</w:t>
      </w:r>
    </w:p>
    <w:p w14:paraId="224C3D15">
      <w:pPr>
        <w:keepNext w:val="0"/>
        <w:keepLines w:val="0"/>
        <w:pageBreakBefore w:val="0"/>
        <w:widowControl w:val="0"/>
        <w:kinsoku/>
        <w:wordWrap/>
        <w:overflowPunct/>
        <w:topLinePunct/>
        <w:autoSpaceDE/>
        <w:autoSpaceDN/>
        <w:bidi w:val="0"/>
        <w:adjustRightInd/>
        <w:snapToGrid/>
        <w:spacing w:line="0" w:lineRule="atLeast"/>
        <w:ind w:firstLine="560" w:firstLineChars="200"/>
        <w:textAlignment w:val="auto"/>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w:t>
      </w:r>
      <w:r>
        <w:rPr>
          <w:rFonts w:hint="eastAsia" w:ascii="楷体" w:hAnsi="楷体" w:eastAsia="楷体" w:cs="楷体"/>
          <w:sz w:val="28"/>
          <w:szCs w:val="28"/>
        </w:rPr>
        <w:t>、</w:t>
      </w:r>
      <w:r>
        <w:rPr>
          <w:rFonts w:hint="eastAsia" w:ascii="楷体" w:hAnsi="楷体" w:eastAsia="楷体" w:cs="楷体"/>
          <w:color w:val="000000" w:themeColor="text1"/>
          <w:sz w:val="28"/>
          <w:szCs w:val="28"/>
          <w14:textFill>
            <w14:solidFill>
              <w14:schemeClr w14:val="tx1"/>
            </w14:solidFill>
          </w14:textFill>
        </w:rPr>
        <w:t>如果由参比单位的法定代表人亲自签署响应文件，则不需提交授权委托书。</w:t>
      </w:r>
    </w:p>
    <w:p w14:paraId="0507C1A0">
      <w:pPr>
        <w:jc w:val="center"/>
        <w:outlineLvl w:val="0"/>
        <w:rPr>
          <w:rFonts w:hint="eastAsia" w:ascii="方正小标宋简体" w:hAnsi="方正小标宋简体" w:eastAsia="方正小标宋简体" w:cs="方正小标宋简体"/>
          <w:sz w:val="32"/>
          <w:szCs w:val="32"/>
        </w:rPr>
      </w:pPr>
      <w:bookmarkStart w:id="100" w:name="_Toc25437"/>
      <w:bookmarkStart w:id="101" w:name="_Toc18919"/>
      <w:r>
        <w:rPr>
          <w:rFonts w:hint="eastAsia" w:ascii="方正小标宋简体" w:hAnsi="方正小标宋简体" w:eastAsia="方正小标宋简体" w:cs="方正小标宋简体"/>
          <w:sz w:val="32"/>
          <w:szCs w:val="32"/>
        </w:rPr>
        <w:t>五、服务团队资质业绩证明材料</w:t>
      </w:r>
    </w:p>
    <w:p w14:paraId="170EF323">
      <w:pPr>
        <w:pStyle w:val="5"/>
        <w:spacing w:after="0" w:line="540" w:lineRule="exact"/>
        <w:ind w:firstLine="560" w:firstLineChars="200"/>
        <w:jc w:val="left"/>
        <w:outlineLvl w:val="0"/>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格式自拟</w:t>
      </w:r>
    </w:p>
    <w:p w14:paraId="4F259A53">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sz w:val="24"/>
          <w:szCs w:val="24"/>
        </w:rPr>
      </w:pPr>
    </w:p>
    <w:p w14:paraId="66F19C86">
      <w:pPr>
        <w:pStyle w:val="13"/>
        <w:spacing w:line="360" w:lineRule="auto"/>
        <w:ind w:left="0" w:leftChars="0" w:firstLine="0" w:firstLineChars="0"/>
        <w:jc w:val="center"/>
        <w:rPr>
          <w:rFonts w:hint="eastAsia" w:ascii="黑体" w:hAnsi="黑体" w:eastAsia="黑体" w:cs="方正小标宋_GBK"/>
          <w:sz w:val="36"/>
          <w:szCs w:val="36"/>
        </w:rPr>
      </w:pPr>
    </w:p>
    <w:p w14:paraId="626307C4">
      <w:pPr>
        <w:pStyle w:val="13"/>
        <w:spacing w:line="360" w:lineRule="auto"/>
        <w:ind w:left="0" w:leftChars="0" w:firstLine="0" w:firstLineChars="0"/>
        <w:jc w:val="center"/>
        <w:rPr>
          <w:rFonts w:hint="eastAsia" w:ascii="黑体" w:hAnsi="黑体" w:eastAsia="黑体" w:cs="方正小标宋_GBK"/>
          <w:sz w:val="36"/>
          <w:szCs w:val="36"/>
        </w:rPr>
      </w:pPr>
    </w:p>
    <w:p w14:paraId="7DF730DA">
      <w:pPr>
        <w:pStyle w:val="13"/>
        <w:spacing w:line="360" w:lineRule="auto"/>
        <w:ind w:left="0" w:leftChars="0" w:firstLine="0" w:firstLineChars="0"/>
        <w:jc w:val="center"/>
        <w:rPr>
          <w:rFonts w:hint="eastAsia" w:ascii="黑体" w:hAnsi="黑体" w:eastAsia="黑体" w:cs="方正小标宋_GBK"/>
          <w:sz w:val="36"/>
          <w:szCs w:val="36"/>
        </w:rPr>
      </w:pPr>
    </w:p>
    <w:p w14:paraId="41609081">
      <w:pPr>
        <w:pStyle w:val="13"/>
        <w:spacing w:line="360" w:lineRule="auto"/>
        <w:ind w:left="0" w:leftChars="0" w:firstLine="0" w:firstLineChars="0"/>
        <w:jc w:val="center"/>
        <w:rPr>
          <w:rFonts w:hint="eastAsia" w:ascii="黑体" w:hAnsi="黑体" w:eastAsia="黑体" w:cs="方正小标宋_GBK"/>
          <w:sz w:val="36"/>
          <w:szCs w:val="36"/>
        </w:rPr>
      </w:pPr>
    </w:p>
    <w:p w14:paraId="579F45BE">
      <w:pPr>
        <w:pStyle w:val="13"/>
        <w:spacing w:line="360" w:lineRule="auto"/>
        <w:ind w:left="0" w:leftChars="0" w:firstLine="0" w:firstLineChars="0"/>
        <w:jc w:val="center"/>
        <w:rPr>
          <w:rFonts w:hint="eastAsia" w:ascii="黑体" w:hAnsi="黑体" w:eastAsia="黑体" w:cs="方正小标宋_GBK"/>
          <w:sz w:val="36"/>
          <w:szCs w:val="36"/>
        </w:rPr>
      </w:pPr>
    </w:p>
    <w:p w14:paraId="163313AF">
      <w:pPr>
        <w:pStyle w:val="13"/>
        <w:spacing w:line="360" w:lineRule="auto"/>
        <w:ind w:left="0" w:leftChars="0" w:firstLine="0" w:firstLineChars="0"/>
        <w:jc w:val="center"/>
        <w:rPr>
          <w:rFonts w:hint="eastAsia" w:ascii="黑体" w:hAnsi="黑体" w:eastAsia="黑体" w:cs="方正小标宋_GBK"/>
          <w:sz w:val="36"/>
          <w:szCs w:val="36"/>
        </w:rPr>
      </w:pPr>
    </w:p>
    <w:p w14:paraId="6B490E46">
      <w:pPr>
        <w:pStyle w:val="13"/>
        <w:spacing w:line="360" w:lineRule="auto"/>
        <w:ind w:left="0" w:leftChars="0" w:firstLine="0" w:firstLineChars="0"/>
        <w:jc w:val="center"/>
        <w:rPr>
          <w:rFonts w:hint="eastAsia" w:ascii="黑体" w:hAnsi="黑体" w:eastAsia="黑体" w:cs="方正小标宋_GBK"/>
          <w:sz w:val="36"/>
          <w:szCs w:val="36"/>
        </w:rPr>
      </w:pPr>
    </w:p>
    <w:p w14:paraId="7E90F754">
      <w:pPr>
        <w:pStyle w:val="13"/>
        <w:spacing w:line="360" w:lineRule="auto"/>
        <w:ind w:left="0" w:leftChars="0" w:firstLine="0" w:firstLineChars="0"/>
        <w:jc w:val="center"/>
        <w:rPr>
          <w:rFonts w:hint="eastAsia" w:ascii="黑体" w:hAnsi="黑体" w:eastAsia="黑体" w:cs="方正小标宋_GBK"/>
          <w:sz w:val="36"/>
          <w:szCs w:val="36"/>
        </w:rPr>
      </w:pPr>
    </w:p>
    <w:p w14:paraId="70DFF3D7">
      <w:pPr>
        <w:pStyle w:val="13"/>
        <w:spacing w:line="360" w:lineRule="auto"/>
        <w:ind w:left="0" w:leftChars="0" w:firstLine="0" w:firstLineChars="0"/>
        <w:jc w:val="center"/>
        <w:rPr>
          <w:rFonts w:hint="eastAsia" w:ascii="黑体" w:hAnsi="黑体" w:eastAsia="黑体" w:cs="方正小标宋_GBK"/>
          <w:sz w:val="36"/>
          <w:szCs w:val="36"/>
        </w:rPr>
      </w:pPr>
    </w:p>
    <w:p w14:paraId="65FA1F1F">
      <w:pPr>
        <w:pStyle w:val="13"/>
        <w:spacing w:line="360" w:lineRule="auto"/>
        <w:ind w:left="0" w:leftChars="0" w:firstLine="0" w:firstLineChars="0"/>
        <w:jc w:val="center"/>
        <w:rPr>
          <w:rFonts w:hint="eastAsia" w:ascii="黑体" w:hAnsi="黑体" w:eastAsia="黑体" w:cs="方正小标宋_GBK"/>
          <w:sz w:val="36"/>
          <w:szCs w:val="36"/>
        </w:rPr>
      </w:pPr>
    </w:p>
    <w:p w14:paraId="63A50726">
      <w:pPr>
        <w:pStyle w:val="13"/>
        <w:spacing w:line="360" w:lineRule="auto"/>
        <w:ind w:left="0" w:leftChars="0" w:firstLine="0" w:firstLineChars="0"/>
        <w:jc w:val="center"/>
        <w:rPr>
          <w:rFonts w:hint="eastAsia" w:ascii="黑体" w:hAnsi="黑体" w:eastAsia="黑体" w:cs="方正小标宋_GBK"/>
          <w:sz w:val="36"/>
          <w:szCs w:val="36"/>
        </w:rPr>
      </w:pPr>
    </w:p>
    <w:p w14:paraId="3AE13144">
      <w:pPr>
        <w:pStyle w:val="13"/>
        <w:spacing w:line="360" w:lineRule="auto"/>
        <w:ind w:left="0" w:leftChars="0" w:firstLine="0" w:firstLineChars="0"/>
        <w:jc w:val="center"/>
        <w:rPr>
          <w:rFonts w:hint="eastAsia" w:ascii="黑体" w:hAnsi="黑体" w:eastAsia="黑体" w:cs="方正小标宋_GBK"/>
          <w:sz w:val="36"/>
          <w:szCs w:val="36"/>
        </w:rPr>
      </w:pPr>
    </w:p>
    <w:p w14:paraId="0C8B6FC1">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六、</w:t>
      </w:r>
      <w:r>
        <w:rPr>
          <w:rFonts w:hint="eastAsia" w:ascii="方正小标宋简体" w:hAnsi="方正小标宋简体" w:eastAsia="方正小标宋简体" w:cs="方正小标宋简体"/>
          <w:sz w:val="32"/>
          <w:szCs w:val="32"/>
          <w:lang w:val="en-US" w:eastAsia="zh-CN"/>
        </w:rPr>
        <w:t>服务</w:t>
      </w:r>
      <w:r>
        <w:rPr>
          <w:rFonts w:hint="eastAsia" w:ascii="方正小标宋简体" w:hAnsi="方正小标宋简体" w:eastAsia="方正小标宋简体" w:cs="方正小标宋简体"/>
          <w:sz w:val="32"/>
          <w:szCs w:val="32"/>
        </w:rPr>
        <w:t>方案</w:t>
      </w:r>
    </w:p>
    <w:p w14:paraId="40EDF7D8">
      <w:pPr>
        <w:pStyle w:val="5"/>
        <w:spacing w:after="0" w:line="540" w:lineRule="exact"/>
        <w:ind w:firstLine="560" w:firstLineChars="200"/>
        <w:jc w:val="left"/>
        <w:outlineLvl w:val="0"/>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格式自拟</w:t>
      </w:r>
    </w:p>
    <w:p w14:paraId="6F6C00F7">
      <w:pPr>
        <w:pStyle w:val="13"/>
        <w:spacing w:line="360" w:lineRule="auto"/>
        <w:ind w:left="0" w:leftChars="0" w:firstLine="560"/>
        <w:jc w:val="left"/>
        <w:rPr>
          <w:rFonts w:ascii="仿宋_GB2312" w:hAnsi="仿宋_GB2312" w:cs="仿宋_GB2312"/>
          <w:color w:val="000000" w:themeColor="text1"/>
          <w:sz w:val="28"/>
          <w:szCs w:val="28"/>
          <w14:textFill>
            <w14:solidFill>
              <w14:schemeClr w14:val="tx1"/>
            </w14:solidFill>
          </w14:textFill>
        </w:rPr>
      </w:pPr>
    </w:p>
    <w:p w14:paraId="03C642B2">
      <w:pPr>
        <w:pStyle w:val="5"/>
        <w:spacing w:after="0" w:line="520" w:lineRule="exact"/>
        <w:jc w:val="center"/>
        <w:outlineLvl w:val="0"/>
        <w:rPr>
          <w:rFonts w:ascii="方正小标宋_GBK" w:hAnsi="方正小标宋_GBK" w:eastAsia="方正小标宋_GBK" w:cs="方正小标宋_GBK"/>
          <w:szCs w:val="32"/>
        </w:rPr>
      </w:pPr>
    </w:p>
    <w:p w14:paraId="6C789A83">
      <w:pPr>
        <w:pStyle w:val="5"/>
        <w:spacing w:after="0" w:line="520" w:lineRule="exact"/>
        <w:jc w:val="center"/>
        <w:outlineLvl w:val="0"/>
        <w:rPr>
          <w:rFonts w:ascii="方正小标宋_GBK" w:hAnsi="方正小标宋_GBK" w:eastAsia="方正小标宋_GBK" w:cs="方正小标宋_GBK"/>
          <w:szCs w:val="32"/>
        </w:rPr>
      </w:pPr>
    </w:p>
    <w:p w14:paraId="4A8D2F1E">
      <w:pPr>
        <w:pStyle w:val="5"/>
        <w:spacing w:after="0" w:line="520" w:lineRule="exact"/>
        <w:jc w:val="center"/>
        <w:outlineLvl w:val="0"/>
        <w:rPr>
          <w:rFonts w:ascii="方正小标宋_GBK" w:hAnsi="方正小标宋_GBK" w:eastAsia="方正小标宋_GBK" w:cs="方正小标宋_GBK"/>
          <w:szCs w:val="32"/>
        </w:rPr>
      </w:pPr>
    </w:p>
    <w:p w14:paraId="6CDDB108">
      <w:pPr>
        <w:pStyle w:val="5"/>
        <w:spacing w:after="0" w:line="520" w:lineRule="exact"/>
        <w:jc w:val="center"/>
        <w:outlineLvl w:val="0"/>
        <w:rPr>
          <w:rFonts w:ascii="方正小标宋_GBK" w:hAnsi="方正小标宋_GBK" w:eastAsia="方正小标宋_GBK" w:cs="方正小标宋_GBK"/>
          <w:szCs w:val="32"/>
        </w:rPr>
      </w:pPr>
    </w:p>
    <w:p w14:paraId="796D7296">
      <w:pPr>
        <w:pStyle w:val="5"/>
        <w:spacing w:after="0" w:line="520" w:lineRule="exact"/>
        <w:jc w:val="center"/>
        <w:outlineLvl w:val="0"/>
        <w:rPr>
          <w:rFonts w:ascii="方正小标宋_GBK" w:hAnsi="方正小标宋_GBK" w:eastAsia="方正小标宋_GBK" w:cs="方正小标宋_GBK"/>
          <w:szCs w:val="32"/>
        </w:rPr>
      </w:pPr>
    </w:p>
    <w:p w14:paraId="43773F82">
      <w:pPr>
        <w:pStyle w:val="5"/>
        <w:spacing w:after="0" w:line="520" w:lineRule="exact"/>
        <w:jc w:val="center"/>
        <w:outlineLvl w:val="0"/>
        <w:rPr>
          <w:rFonts w:ascii="方正小标宋_GBK" w:hAnsi="方正小标宋_GBK" w:eastAsia="方正小标宋_GBK" w:cs="方正小标宋_GBK"/>
          <w:szCs w:val="32"/>
        </w:rPr>
      </w:pPr>
    </w:p>
    <w:p w14:paraId="6DE4FE0E">
      <w:pPr>
        <w:pStyle w:val="5"/>
        <w:spacing w:after="0" w:line="520" w:lineRule="exact"/>
        <w:jc w:val="center"/>
        <w:outlineLvl w:val="0"/>
        <w:rPr>
          <w:rFonts w:ascii="方正小标宋_GBK" w:hAnsi="方正小标宋_GBK" w:eastAsia="方正小标宋_GBK" w:cs="方正小标宋_GBK"/>
          <w:szCs w:val="32"/>
        </w:rPr>
      </w:pPr>
    </w:p>
    <w:p w14:paraId="73A33C40">
      <w:pPr>
        <w:pStyle w:val="5"/>
        <w:spacing w:after="0" w:line="520" w:lineRule="exact"/>
        <w:jc w:val="center"/>
        <w:outlineLvl w:val="0"/>
        <w:rPr>
          <w:rFonts w:ascii="方正小标宋_GBK" w:hAnsi="方正小标宋_GBK" w:eastAsia="方正小标宋_GBK" w:cs="方正小标宋_GBK"/>
          <w:szCs w:val="32"/>
        </w:rPr>
      </w:pPr>
    </w:p>
    <w:p w14:paraId="56455A9E">
      <w:pPr>
        <w:pStyle w:val="5"/>
        <w:spacing w:after="0" w:line="520" w:lineRule="exact"/>
        <w:jc w:val="center"/>
        <w:outlineLvl w:val="0"/>
        <w:rPr>
          <w:rFonts w:ascii="方正小标宋_GBK" w:hAnsi="方正小标宋_GBK" w:eastAsia="方正小标宋_GBK" w:cs="方正小标宋_GBK"/>
          <w:szCs w:val="32"/>
        </w:rPr>
      </w:pPr>
    </w:p>
    <w:p w14:paraId="2BC1CCE6">
      <w:pPr>
        <w:pStyle w:val="5"/>
        <w:spacing w:after="0" w:line="520" w:lineRule="exact"/>
        <w:jc w:val="center"/>
        <w:outlineLvl w:val="0"/>
        <w:rPr>
          <w:rFonts w:ascii="方正小标宋_GBK" w:hAnsi="方正小标宋_GBK" w:eastAsia="方正小标宋_GBK" w:cs="方正小标宋_GBK"/>
          <w:szCs w:val="32"/>
        </w:rPr>
      </w:pPr>
    </w:p>
    <w:p w14:paraId="7D371E93">
      <w:pPr>
        <w:pStyle w:val="5"/>
        <w:spacing w:after="0" w:line="520" w:lineRule="exact"/>
        <w:jc w:val="center"/>
        <w:outlineLvl w:val="0"/>
        <w:rPr>
          <w:rFonts w:ascii="方正小标宋_GBK" w:hAnsi="方正小标宋_GBK" w:eastAsia="方正小标宋_GBK" w:cs="方正小标宋_GBK"/>
          <w:szCs w:val="32"/>
        </w:rPr>
      </w:pPr>
    </w:p>
    <w:p w14:paraId="3AF7A7C6">
      <w:pPr>
        <w:pStyle w:val="5"/>
        <w:spacing w:after="0" w:line="520" w:lineRule="exact"/>
        <w:jc w:val="center"/>
        <w:outlineLvl w:val="0"/>
        <w:rPr>
          <w:rFonts w:ascii="方正小标宋_GBK" w:hAnsi="方正小标宋_GBK" w:eastAsia="方正小标宋_GBK" w:cs="方正小标宋_GBK"/>
          <w:szCs w:val="32"/>
        </w:rPr>
      </w:pPr>
    </w:p>
    <w:p w14:paraId="2F4F360A">
      <w:pPr>
        <w:pStyle w:val="5"/>
        <w:spacing w:after="0" w:line="520" w:lineRule="exact"/>
        <w:jc w:val="center"/>
        <w:outlineLvl w:val="0"/>
        <w:rPr>
          <w:rFonts w:ascii="方正小标宋_GBK" w:hAnsi="方正小标宋_GBK" w:eastAsia="方正小标宋_GBK" w:cs="方正小标宋_GBK"/>
          <w:szCs w:val="32"/>
        </w:rPr>
      </w:pPr>
    </w:p>
    <w:p w14:paraId="0D098BB0">
      <w:pPr>
        <w:pStyle w:val="5"/>
        <w:spacing w:after="0" w:line="520" w:lineRule="exact"/>
        <w:jc w:val="center"/>
        <w:outlineLvl w:val="0"/>
        <w:rPr>
          <w:rFonts w:ascii="方正小标宋_GBK" w:hAnsi="方正小标宋_GBK" w:eastAsia="方正小标宋_GBK" w:cs="方正小标宋_GBK"/>
          <w:szCs w:val="32"/>
        </w:rPr>
      </w:pPr>
    </w:p>
    <w:p w14:paraId="332F19BB">
      <w:pPr>
        <w:pStyle w:val="5"/>
        <w:spacing w:after="0" w:line="520" w:lineRule="exact"/>
        <w:jc w:val="center"/>
        <w:outlineLvl w:val="0"/>
        <w:rPr>
          <w:rFonts w:ascii="方正小标宋_GBK" w:hAnsi="方正小标宋_GBK" w:eastAsia="方正小标宋_GBK" w:cs="方正小标宋_GBK"/>
          <w:szCs w:val="32"/>
        </w:rPr>
      </w:pPr>
    </w:p>
    <w:p w14:paraId="766905BF">
      <w:pPr>
        <w:pStyle w:val="5"/>
        <w:spacing w:after="0" w:line="520" w:lineRule="exact"/>
        <w:jc w:val="center"/>
        <w:outlineLvl w:val="0"/>
        <w:rPr>
          <w:rFonts w:ascii="方正小标宋_GBK" w:hAnsi="方正小标宋_GBK" w:eastAsia="方正小标宋_GBK" w:cs="方正小标宋_GBK"/>
          <w:szCs w:val="32"/>
        </w:rPr>
      </w:pPr>
    </w:p>
    <w:p w14:paraId="27FBF98C">
      <w:pPr>
        <w:pStyle w:val="5"/>
        <w:spacing w:after="0" w:line="520" w:lineRule="exact"/>
        <w:jc w:val="center"/>
        <w:outlineLvl w:val="0"/>
        <w:rPr>
          <w:rFonts w:ascii="方正小标宋_GBK" w:hAnsi="方正小标宋_GBK" w:eastAsia="方正小标宋_GBK" w:cs="方正小标宋_GBK"/>
          <w:szCs w:val="32"/>
        </w:rPr>
      </w:pPr>
    </w:p>
    <w:p w14:paraId="72AE3A8C">
      <w:pPr>
        <w:pStyle w:val="5"/>
        <w:spacing w:after="0" w:line="520" w:lineRule="exact"/>
        <w:jc w:val="center"/>
        <w:outlineLvl w:val="0"/>
        <w:rPr>
          <w:rFonts w:ascii="方正小标宋_GBK" w:hAnsi="方正小标宋_GBK" w:eastAsia="方正小标宋_GBK" w:cs="方正小标宋_GBK"/>
          <w:szCs w:val="32"/>
        </w:rPr>
      </w:pPr>
    </w:p>
    <w:p w14:paraId="7804EBCD">
      <w:pPr>
        <w:pStyle w:val="5"/>
        <w:spacing w:after="0" w:line="520" w:lineRule="exact"/>
        <w:jc w:val="center"/>
        <w:outlineLvl w:val="0"/>
        <w:rPr>
          <w:rFonts w:ascii="方正小标宋_GBK" w:hAnsi="方正小标宋_GBK" w:eastAsia="方正小标宋_GBK" w:cs="方正小标宋_GBK"/>
          <w:szCs w:val="32"/>
        </w:rPr>
      </w:pPr>
    </w:p>
    <w:p w14:paraId="330EF8D5">
      <w:pPr>
        <w:pStyle w:val="5"/>
        <w:spacing w:after="0" w:line="520" w:lineRule="exact"/>
        <w:jc w:val="center"/>
        <w:outlineLvl w:val="0"/>
        <w:rPr>
          <w:rFonts w:ascii="方正小标宋_GBK" w:hAnsi="方正小标宋_GBK" w:eastAsia="方正小标宋_GBK" w:cs="方正小标宋_GBK"/>
          <w:szCs w:val="32"/>
        </w:rPr>
      </w:pPr>
    </w:p>
    <w:p w14:paraId="711BB7B8">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七、报价单</w:t>
      </w:r>
      <w:bookmarkEnd w:id="100"/>
      <w:bookmarkEnd w:id="101"/>
    </w:p>
    <w:p w14:paraId="46A30523">
      <w:pPr>
        <w:pStyle w:val="5"/>
        <w:spacing w:after="0" w:line="520" w:lineRule="exact"/>
        <w:jc w:val="center"/>
        <w:rPr>
          <w:rFonts w:ascii="方正小标宋_GBK" w:hAnsi="方正小标宋_GBK" w:eastAsia="方正小标宋_GBK" w:cs="方正小标宋_GBK"/>
          <w:szCs w:val="32"/>
        </w:rPr>
      </w:pPr>
    </w:p>
    <w:p w14:paraId="20475881">
      <w:pPr>
        <w:pStyle w:val="22"/>
        <w:jc w:val="center"/>
        <w:rPr>
          <w:rFonts w:hint="eastAsia" w:ascii="仿宋_GB2312" w:hAnsi="仿宋_GB2312" w:eastAsia="仿宋_GB2312" w:cs="仿宋_GB2312"/>
          <w:b/>
          <w:sz w:val="28"/>
          <w:szCs w:val="28"/>
          <w:lang w:val="en-US" w:eastAsia="zh-CN"/>
        </w:rPr>
      </w:pPr>
      <w:bookmarkStart w:id="102" w:name="OLE_LINK15"/>
      <w:r>
        <w:rPr>
          <w:rFonts w:hint="eastAsia" w:ascii="仿宋_GB2312" w:hAnsi="仿宋_GB2312" w:eastAsia="仿宋_GB2312" w:cs="仿宋_GB2312"/>
          <w:b/>
          <w:sz w:val="28"/>
          <w:szCs w:val="28"/>
          <w:lang w:val="en-US" w:eastAsia="zh-CN"/>
        </w:rPr>
        <w:t>1.全程服务报价单</w:t>
      </w:r>
    </w:p>
    <w:tbl>
      <w:tblPr>
        <w:tblStyle w:val="14"/>
        <w:tblpPr w:leftFromText="180" w:rightFromText="180" w:vertAnchor="text" w:horzAnchor="page" w:tblpX="1031" w:tblpY="165"/>
        <w:tblOverlap w:val="never"/>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6"/>
        <w:gridCol w:w="6863"/>
      </w:tblGrid>
      <w:tr w14:paraId="696BA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776" w:type="dxa"/>
            <w:vAlign w:val="center"/>
          </w:tcPr>
          <w:p w14:paraId="2A08E58B">
            <w:pPr>
              <w:pStyle w:val="22"/>
              <w:spacing w:before="185"/>
              <w:ind w:left="149" w:right="140"/>
              <w:jc w:val="center"/>
              <w:rPr>
                <w:rFonts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rPr>
              <w:t>名称</w:t>
            </w:r>
          </w:p>
        </w:tc>
        <w:tc>
          <w:tcPr>
            <w:tcW w:w="6863" w:type="dxa"/>
            <w:vAlign w:val="center"/>
          </w:tcPr>
          <w:p w14:paraId="1583A744">
            <w:pPr>
              <w:pStyle w:val="22"/>
              <w:spacing w:before="185"/>
              <w:ind w:left="107"/>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rPr>
              <w:t>投标总价</w:t>
            </w:r>
            <w:r>
              <w:rPr>
                <w:rFonts w:hint="eastAsia" w:ascii="仿宋_GB2312" w:hAnsi="仿宋_GB2312" w:eastAsia="仿宋_GB2312" w:cs="仿宋_GB2312"/>
                <w:b/>
                <w:bCs/>
                <w:sz w:val="28"/>
                <w:szCs w:val="28"/>
              </w:rPr>
              <w:t>（元）</w:t>
            </w:r>
          </w:p>
        </w:tc>
      </w:tr>
      <w:tr w14:paraId="4C576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2776" w:type="dxa"/>
            <w:vAlign w:val="center"/>
          </w:tcPr>
          <w:p w14:paraId="3566F944">
            <w:pPr>
              <w:pStyle w:val="22"/>
              <w:spacing w:before="42" w:line="302" w:lineRule="auto"/>
              <w:ind w:right="14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金寨红色文化发展有限公司注销全过程法律专项服务</w:t>
            </w:r>
          </w:p>
        </w:tc>
        <w:tc>
          <w:tcPr>
            <w:tcW w:w="6863" w:type="dxa"/>
            <w:vAlign w:val="center"/>
          </w:tcPr>
          <w:p w14:paraId="757E9ED5">
            <w:pPr>
              <w:pStyle w:val="22"/>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全程服务</w:t>
            </w:r>
            <w:r>
              <w:rPr>
                <w:rFonts w:hint="eastAsia" w:ascii="仿宋_GB2312" w:hAnsi="仿宋_GB2312" w:eastAsia="仿宋_GB2312" w:cs="仿宋_GB2312"/>
                <w:b/>
                <w:sz w:val="28"/>
                <w:szCs w:val="28"/>
              </w:rPr>
              <w:t>费用</w:t>
            </w:r>
            <w:r>
              <w:rPr>
                <w:rFonts w:ascii="仿宋_GB2312" w:hAnsi="仿宋_GB2312" w:eastAsia="仿宋_GB2312" w:cs="仿宋_GB2312"/>
                <w:b/>
                <w:sz w:val="28"/>
                <w:szCs w:val="28"/>
              </w:rPr>
              <w:t>：</w:t>
            </w:r>
          </w:p>
          <w:p w14:paraId="10F6E1AF">
            <w:pPr>
              <w:pStyle w:val="22"/>
              <w:jc w:val="left"/>
              <w:rPr>
                <w:rFonts w:hint="eastAsia" w:asciiTheme="minorEastAsia" w:hAnsiTheme="minorEastAsia" w:eastAsiaTheme="minorEastAsia" w:cstheme="minorEastAsia"/>
                <w:b/>
                <w:sz w:val="11"/>
                <w:szCs w:val="11"/>
              </w:rPr>
            </w:pPr>
          </w:p>
          <w:p w14:paraId="6B3FDE11">
            <w:pPr>
              <w:spacing w:line="0" w:lineRule="atLeast"/>
              <w:rPr>
                <w:rFonts w:hint="eastAsia" w:ascii="黑体" w:hAnsi="黑体" w:eastAsia="黑体"/>
                <w:b w:val="0"/>
                <w:bCs/>
                <w:sz w:val="28"/>
                <w:szCs w:val="28"/>
              </w:rPr>
            </w:pPr>
            <w:r>
              <w:rPr>
                <w:rFonts w:hint="eastAsia" w:ascii="仿宋_GB2312" w:hAnsi="仿宋_GB2312" w:eastAsia="仿宋_GB2312" w:cs="仿宋_GB2312"/>
                <w:b w:val="0"/>
                <w:bCs/>
                <w:kern w:val="2"/>
                <w:sz w:val="28"/>
                <w:szCs w:val="28"/>
                <w:lang w:val="en-US" w:eastAsia="zh-CN" w:bidi="zh-CN"/>
              </w:rPr>
              <w:t>大写：</w:t>
            </w:r>
            <w:r>
              <w:rPr>
                <w:rFonts w:hint="eastAsia" w:ascii="黑体" w:hAnsi="黑体" w:eastAsia="黑体"/>
                <w:b w:val="0"/>
                <w:bCs/>
                <w:sz w:val="28"/>
                <w:szCs w:val="28"/>
                <w:u w:val="single"/>
              </w:rPr>
              <w:t xml:space="preserve">                                      </w:t>
            </w:r>
            <w:r>
              <w:rPr>
                <w:rFonts w:hint="eastAsia" w:ascii="黑体" w:hAnsi="黑体" w:eastAsia="黑体"/>
                <w:b w:val="0"/>
                <w:bCs/>
                <w:sz w:val="28"/>
                <w:szCs w:val="28"/>
              </w:rPr>
              <w:t xml:space="preserve">  </w:t>
            </w:r>
          </w:p>
          <w:p w14:paraId="105299C7">
            <w:pPr>
              <w:spacing w:line="0" w:lineRule="atLeast"/>
              <w:rPr>
                <w:rFonts w:hint="eastAsia" w:ascii="黑体" w:hAnsi="黑体" w:eastAsia="黑体"/>
                <w:b w:val="0"/>
                <w:bCs/>
                <w:sz w:val="18"/>
                <w:szCs w:val="18"/>
              </w:rPr>
            </w:pPr>
          </w:p>
          <w:p w14:paraId="641AF361">
            <w:pPr>
              <w:pStyle w:val="22"/>
              <w:jc w:val="left"/>
              <w:rPr>
                <w:rFonts w:ascii="仿宋_GB2312" w:hAnsi="仿宋_GB2312" w:eastAsia="仿宋_GB2312" w:cs="仿宋_GB2312"/>
                <w:sz w:val="28"/>
                <w:szCs w:val="28"/>
              </w:rPr>
            </w:pPr>
            <w:r>
              <w:rPr>
                <w:rFonts w:hint="eastAsia" w:ascii="仿宋_GB2312" w:hAnsi="仿宋_GB2312" w:eastAsia="仿宋_GB2312" w:cs="仿宋_GB2312"/>
                <w:b w:val="0"/>
                <w:bCs/>
                <w:sz w:val="28"/>
                <w:szCs w:val="28"/>
                <w:lang w:val="en-US" w:eastAsia="zh-CN"/>
              </w:rPr>
              <w:t>小写：</w:t>
            </w:r>
            <w:r>
              <w:rPr>
                <w:rFonts w:hint="eastAsia" w:ascii="黑体" w:hAnsi="黑体" w:eastAsia="黑体"/>
                <w:b w:val="0"/>
                <w:bCs/>
                <w:sz w:val="28"/>
                <w:szCs w:val="28"/>
              </w:rPr>
              <w:t>￥</w:t>
            </w:r>
            <w:r>
              <w:rPr>
                <w:rFonts w:hint="eastAsia" w:ascii="黑体" w:hAnsi="黑体" w:eastAsia="黑体"/>
                <w:b w:val="0"/>
                <w:bCs/>
                <w:sz w:val="28"/>
                <w:szCs w:val="28"/>
                <w:u w:val="single"/>
              </w:rPr>
              <w:t xml:space="preserve">                                  元</w:t>
            </w:r>
          </w:p>
        </w:tc>
      </w:tr>
      <w:tr w14:paraId="1782F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2776" w:type="dxa"/>
            <w:vAlign w:val="center"/>
          </w:tcPr>
          <w:p w14:paraId="1FFCE88B">
            <w:pPr>
              <w:spacing w:line="0" w:lineRule="atLeast"/>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zh-CN"/>
              </w:rPr>
              <w:t>涉诉代理折扣率报价</w:t>
            </w:r>
          </w:p>
        </w:tc>
        <w:tc>
          <w:tcPr>
            <w:tcW w:w="6863" w:type="dxa"/>
            <w:vAlign w:val="center"/>
          </w:tcPr>
          <w:p w14:paraId="3DDE4EAE">
            <w:pPr>
              <w:spacing w:line="0" w:lineRule="atLeas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仲裁或一审：</w:t>
            </w:r>
            <w:r>
              <w:rPr>
                <w:rFonts w:hint="eastAsia" w:asciiTheme="minorEastAsia" w:hAnsiTheme="minorEastAsia" w:eastAsiaTheme="minorEastAsia" w:cstheme="minorEastAsia"/>
                <w:sz w:val="28"/>
                <w:szCs w:val="28"/>
                <w:u w:val="single"/>
                <w:lang w:val="en-US" w:eastAsia="zh-CN"/>
              </w:rPr>
              <w:t>安徽省律师服务收费标准高限×   ％（百分号前填具体数字</w:t>
            </w:r>
            <w:bookmarkStart w:id="103" w:name="OLE_LINK17"/>
            <w:r>
              <w:rPr>
                <w:rFonts w:hint="eastAsia" w:asciiTheme="minorEastAsia" w:hAnsiTheme="minorEastAsia" w:eastAsiaTheme="minorEastAsia" w:cstheme="minorEastAsia"/>
                <w:sz w:val="28"/>
                <w:szCs w:val="28"/>
                <w:u w:val="single"/>
                <w:lang w:val="en-US" w:eastAsia="zh-CN"/>
              </w:rPr>
              <w:t>，</w:t>
            </w:r>
            <w:r>
              <w:rPr>
                <w:rFonts w:hint="eastAsia" w:ascii="黑体" w:hAnsi="黑体" w:eastAsia="黑体" w:cs="黑体"/>
                <w:b/>
                <w:bCs/>
                <w:sz w:val="28"/>
                <w:szCs w:val="28"/>
                <w:u w:val="single"/>
                <w:lang w:val="en-US" w:eastAsia="zh-CN"/>
              </w:rPr>
              <w:t>不得大于60</w:t>
            </w:r>
            <w:r>
              <w:rPr>
                <w:rFonts w:hint="eastAsia" w:asciiTheme="minorEastAsia" w:hAnsiTheme="minorEastAsia" w:eastAsiaTheme="minorEastAsia" w:cstheme="minorEastAsia"/>
                <w:sz w:val="28"/>
                <w:szCs w:val="28"/>
                <w:u w:val="single"/>
                <w:lang w:val="en-US" w:eastAsia="zh-CN"/>
              </w:rPr>
              <w:t>，否则为无效投标）</w:t>
            </w:r>
            <w:bookmarkEnd w:id="103"/>
          </w:p>
          <w:p w14:paraId="527A41F7">
            <w:pPr>
              <w:spacing w:line="0" w:lineRule="atLeast"/>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b/>
                <w:bCs/>
                <w:sz w:val="28"/>
                <w:szCs w:val="28"/>
                <w:lang w:val="en-US" w:eastAsia="zh-CN"/>
              </w:rPr>
              <w:t>二审（如有）：</w:t>
            </w:r>
            <w:r>
              <w:rPr>
                <w:rFonts w:hint="eastAsia" w:asciiTheme="minorEastAsia" w:hAnsiTheme="minorEastAsia" w:eastAsiaTheme="minorEastAsia" w:cstheme="minorEastAsia"/>
                <w:sz w:val="28"/>
                <w:szCs w:val="28"/>
                <w:u w:val="single"/>
                <w:lang w:val="en-US" w:eastAsia="zh-CN"/>
              </w:rPr>
              <w:t>按一审标准减半收取</w:t>
            </w:r>
          </w:p>
          <w:p w14:paraId="555B1600">
            <w:pPr>
              <w:spacing w:line="0" w:lineRule="atLeast"/>
              <w:rPr>
                <w:rFonts w:ascii="仿宋_GB2312" w:hAnsi="仿宋_GB2312" w:eastAsia="仿宋_GB2312" w:cs="仿宋_GB2312"/>
                <w:sz w:val="28"/>
                <w:szCs w:val="28"/>
              </w:rPr>
            </w:pPr>
            <w:r>
              <w:rPr>
                <w:rFonts w:hint="eastAsia" w:asciiTheme="minorEastAsia" w:hAnsiTheme="minorEastAsia" w:eastAsiaTheme="minorEastAsia" w:cstheme="minorEastAsia"/>
                <w:b/>
                <w:bCs/>
                <w:sz w:val="28"/>
                <w:szCs w:val="28"/>
                <w:u w:val="none"/>
                <w:lang w:val="en-US" w:eastAsia="zh-CN"/>
              </w:rPr>
              <w:t>撤诉：</w:t>
            </w:r>
            <w:r>
              <w:rPr>
                <w:rFonts w:hint="eastAsia" w:asciiTheme="minorEastAsia" w:hAnsiTheme="minorEastAsia" w:eastAsiaTheme="minorEastAsia" w:cstheme="minorEastAsia"/>
                <w:sz w:val="28"/>
                <w:szCs w:val="28"/>
                <w:u w:val="single"/>
                <w:lang w:val="en-US" w:eastAsia="zh-CN"/>
              </w:rPr>
              <w:t>发生撤诉，则该阶段服务费为0</w:t>
            </w:r>
            <w:r>
              <w:rPr>
                <w:rFonts w:hint="eastAsia" w:asciiTheme="minorEastAsia" w:hAnsiTheme="minorEastAsia" w:eastAsiaTheme="minorEastAsia" w:cstheme="minorEastAsia"/>
                <w:sz w:val="28"/>
                <w:szCs w:val="28"/>
                <w:u w:val="none"/>
                <w:lang w:val="en-US" w:eastAsia="zh-CN"/>
              </w:rPr>
              <w:t>（即二审时撤诉，只收一审代理费，一审时撤诉不收费</w:t>
            </w:r>
            <w:r>
              <w:rPr>
                <w:rFonts w:hint="eastAsia" w:ascii="宋体" w:hAnsi="宋体" w:cs="宋体"/>
                <w:sz w:val="21"/>
                <w:szCs w:val="21"/>
                <w:u w:val="none"/>
                <w:lang w:val="en-US" w:eastAsia="zh-CN"/>
              </w:rPr>
              <w:t>）</w:t>
            </w:r>
            <w:r>
              <w:rPr>
                <w:rFonts w:hint="eastAsia" w:asciiTheme="minorEastAsia" w:hAnsiTheme="minorEastAsia" w:eastAsiaTheme="minorEastAsia" w:cstheme="minorEastAsia"/>
                <w:sz w:val="28"/>
                <w:szCs w:val="28"/>
                <w:u w:val="none"/>
                <w:lang w:val="en-US" w:eastAsia="zh-CN"/>
              </w:rPr>
              <w:t>。</w:t>
            </w:r>
          </w:p>
        </w:tc>
      </w:tr>
    </w:tbl>
    <w:p w14:paraId="4429879E">
      <w:pPr>
        <w:pStyle w:val="5"/>
        <w:spacing w:after="0" w:line="520" w:lineRule="exact"/>
        <w:jc w:val="left"/>
        <w:rPr>
          <w:rFonts w:ascii="Times New Roman" w:hAnsi="Times New Roman"/>
          <w:sz w:val="28"/>
          <w:szCs w:val="28"/>
          <w:lang w:bidi="zh-CN"/>
        </w:rPr>
      </w:pPr>
      <w:r>
        <w:rPr>
          <w:rFonts w:ascii="Times New Roman" w:hAnsi="仿宋_GB2312"/>
          <w:sz w:val="28"/>
          <w:szCs w:val="28"/>
          <w:lang w:bidi="zh-CN"/>
        </w:rPr>
        <w:t>备注：</w:t>
      </w:r>
      <w:r>
        <w:rPr>
          <w:rFonts w:ascii="Times New Roman" w:hAnsi="Times New Roman"/>
          <w:sz w:val="28"/>
          <w:szCs w:val="28"/>
          <w:lang w:bidi="zh-CN"/>
        </w:rPr>
        <w:t>1</w:t>
      </w:r>
      <w:r>
        <w:rPr>
          <w:rFonts w:ascii="Times New Roman" w:hAnsi="仿宋_GB2312"/>
          <w:sz w:val="28"/>
          <w:szCs w:val="28"/>
        </w:rPr>
        <w:t>、</w:t>
      </w:r>
      <w:r>
        <w:rPr>
          <w:rFonts w:ascii="Times New Roman" w:hAnsi="仿宋_GB2312"/>
          <w:sz w:val="28"/>
          <w:szCs w:val="28"/>
          <w:lang w:bidi="zh-CN"/>
        </w:rPr>
        <w:t>填写此表时不得改变表格的形式。</w:t>
      </w:r>
    </w:p>
    <w:bookmarkEnd w:id="102"/>
    <w:p w14:paraId="6F63EF73">
      <w:pPr>
        <w:pStyle w:val="5"/>
        <w:spacing w:after="0" w:line="520" w:lineRule="exact"/>
        <w:jc w:val="left"/>
        <w:rPr>
          <w:rFonts w:ascii="Times New Roman" w:hAnsi="Times New Roman"/>
          <w:b/>
          <w:bCs/>
          <w:sz w:val="28"/>
          <w:szCs w:val="28"/>
          <w:lang w:bidi="zh-CN"/>
        </w:rPr>
      </w:pPr>
      <w:r>
        <w:rPr>
          <w:rFonts w:ascii="Times New Roman" w:hAnsi="Times New Roman"/>
          <w:sz w:val="28"/>
          <w:szCs w:val="28"/>
          <w:lang w:bidi="zh-CN"/>
        </w:rPr>
        <w:t xml:space="preserve">      2</w:t>
      </w:r>
      <w:r>
        <w:rPr>
          <w:rFonts w:ascii="Times New Roman" w:hAnsi="仿宋_GB2312"/>
          <w:sz w:val="28"/>
          <w:szCs w:val="28"/>
        </w:rPr>
        <w:t>、</w:t>
      </w:r>
      <w:r>
        <w:rPr>
          <w:rFonts w:ascii="Times New Roman" w:hAnsi="仿宋_GB2312"/>
          <w:b/>
          <w:bCs/>
          <w:sz w:val="28"/>
          <w:szCs w:val="28"/>
          <w:lang w:bidi="zh-CN"/>
        </w:rPr>
        <w:t>超出控制价的以无效投标人处理。</w:t>
      </w:r>
    </w:p>
    <w:p w14:paraId="0DCA0051">
      <w:pPr>
        <w:pStyle w:val="5"/>
        <w:spacing w:after="0" w:line="520" w:lineRule="exact"/>
        <w:ind w:firstLine="840" w:firstLineChars="300"/>
        <w:jc w:val="left"/>
        <w:rPr>
          <w:rFonts w:ascii="Times New Roman" w:hAnsi="Times New Roman"/>
          <w:sz w:val="28"/>
          <w:szCs w:val="28"/>
          <w:lang w:bidi="zh-CN"/>
        </w:rPr>
      </w:pPr>
      <w:r>
        <w:rPr>
          <w:rFonts w:ascii="Times New Roman" w:hAnsi="Times New Roman"/>
          <w:sz w:val="28"/>
          <w:szCs w:val="28"/>
          <w:lang w:bidi="zh-CN"/>
        </w:rPr>
        <w:t>3</w:t>
      </w:r>
      <w:r>
        <w:rPr>
          <w:rFonts w:ascii="Times New Roman" w:hAnsi="仿宋_GB2312"/>
          <w:sz w:val="28"/>
          <w:szCs w:val="28"/>
        </w:rPr>
        <w:t>、</w:t>
      </w:r>
      <w:bookmarkStart w:id="104" w:name="OLE_LINK16"/>
      <w:r>
        <w:rPr>
          <w:rFonts w:ascii="Times New Roman" w:hAnsi="仿宋_GB2312"/>
          <w:sz w:val="28"/>
          <w:szCs w:val="28"/>
          <w:lang w:bidi="zh-CN"/>
        </w:rPr>
        <w:t>投标总价</w:t>
      </w:r>
      <w:r>
        <w:rPr>
          <w:rFonts w:hint="eastAsia" w:ascii="Times New Roman" w:hAnsi="仿宋_GB2312"/>
          <w:sz w:val="28"/>
          <w:szCs w:val="28"/>
          <w:lang w:val="en-US" w:bidi="zh-CN"/>
        </w:rPr>
        <w:t>为全费用价格，中标后采购人不支付其他任何费用</w:t>
      </w:r>
      <w:r>
        <w:rPr>
          <w:rFonts w:ascii="Times New Roman" w:hAnsi="仿宋_GB2312"/>
          <w:sz w:val="28"/>
          <w:szCs w:val="28"/>
          <w:lang w:bidi="zh-CN"/>
        </w:rPr>
        <w:t>。</w:t>
      </w:r>
      <w:bookmarkEnd w:id="104"/>
    </w:p>
    <w:p w14:paraId="3A4DB4D3">
      <w:pPr>
        <w:pStyle w:val="22"/>
        <w:jc w:val="left"/>
        <w:rPr>
          <w:rFonts w:ascii="仿宋_GB2312" w:hAnsi="仿宋_GB2312" w:eastAsia="仿宋_GB2312" w:cs="仿宋_GB2312"/>
          <w:sz w:val="28"/>
          <w:szCs w:val="28"/>
        </w:rPr>
      </w:pPr>
    </w:p>
    <w:p w14:paraId="47870CD5">
      <w:pPr>
        <w:pStyle w:val="5"/>
        <w:spacing w:after="0" w:line="520" w:lineRule="exact"/>
        <w:jc w:val="center"/>
        <w:rPr>
          <w:rFonts w:ascii="Times New Roman" w:hAnsi="Times New Roman"/>
          <w:sz w:val="28"/>
          <w:szCs w:val="28"/>
        </w:rPr>
      </w:pPr>
    </w:p>
    <w:p w14:paraId="716E70B4">
      <w:pPr>
        <w:pStyle w:val="5"/>
        <w:spacing w:after="0" w:line="520" w:lineRule="exact"/>
        <w:jc w:val="center"/>
        <w:rPr>
          <w:rFonts w:ascii="仿宋_GB2312" w:hAnsi="仿宋_GB2312" w:cs="仿宋_GB2312"/>
          <w:sz w:val="28"/>
          <w:szCs w:val="28"/>
        </w:rPr>
      </w:pPr>
    </w:p>
    <w:p w14:paraId="071D7089">
      <w:pPr>
        <w:pStyle w:val="5"/>
        <w:spacing w:after="0" w:line="520" w:lineRule="exact"/>
        <w:jc w:val="center"/>
        <w:rPr>
          <w:rFonts w:ascii="仿宋_GB2312" w:hAnsi="仿宋_GB2312" w:cs="仿宋_GB2312"/>
          <w:sz w:val="28"/>
          <w:szCs w:val="28"/>
        </w:rPr>
      </w:pPr>
    </w:p>
    <w:p w14:paraId="55989207">
      <w:pPr>
        <w:pStyle w:val="5"/>
        <w:spacing w:after="0" w:line="520" w:lineRule="exact"/>
        <w:jc w:val="center"/>
        <w:rPr>
          <w:rFonts w:ascii="仿宋_GB2312" w:hAnsi="仿宋_GB2312" w:cs="仿宋_GB2312"/>
          <w:sz w:val="28"/>
          <w:szCs w:val="28"/>
        </w:rPr>
      </w:pPr>
    </w:p>
    <w:p w14:paraId="3442A9DF">
      <w:pPr>
        <w:pStyle w:val="5"/>
        <w:spacing w:after="0" w:line="520" w:lineRule="exact"/>
        <w:jc w:val="center"/>
        <w:rPr>
          <w:rFonts w:ascii="仿宋_GB2312" w:hAnsi="仿宋_GB2312" w:cs="仿宋_GB2312"/>
          <w:sz w:val="28"/>
          <w:szCs w:val="28"/>
        </w:rPr>
      </w:pPr>
      <w:r>
        <w:rPr>
          <w:rFonts w:hint="eastAsia" w:ascii="仿宋_GB2312" w:hAnsi="仿宋_GB2312" w:cs="仿宋_GB2312"/>
          <w:sz w:val="28"/>
          <w:szCs w:val="28"/>
        </w:rPr>
        <w:t xml:space="preserve">                                 参比单位： </w:t>
      </w:r>
      <w:r>
        <w:rPr>
          <w:rFonts w:hint="eastAsia" w:ascii="仿宋_GB2312" w:hAnsi="仿宋_GB2312" w:cs="仿宋_GB2312"/>
          <w:sz w:val="28"/>
          <w:szCs w:val="28"/>
        </w:rPr>
        <w:tab/>
      </w:r>
      <w:r>
        <w:rPr>
          <w:rFonts w:hint="eastAsia" w:ascii="仿宋_GB2312" w:hAnsi="仿宋_GB2312" w:cs="仿宋_GB2312"/>
          <w:sz w:val="28"/>
          <w:szCs w:val="28"/>
        </w:rPr>
        <w:t>（盖章）</w:t>
      </w:r>
    </w:p>
    <w:p w14:paraId="2C10D226">
      <w:pPr>
        <w:pStyle w:val="5"/>
        <w:spacing w:after="0" w:line="520" w:lineRule="exact"/>
        <w:jc w:val="center"/>
        <w:rPr>
          <w:rFonts w:ascii="方正小标宋_GBK" w:hAnsi="方正小标宋_GBK" w:eastAsia="方正小标宋_GBK" w:cs="方正小标宋_GBK"/>
          <w:szCs w:val="32"/>
        </w:rPr>
      </w:pPr>
    </w:p>
    <w:p w14:paraId="75170EDF">
      <w:pPr>
        <w:jc w:val="center"/>
        <w:outlineLvl w:val="0"/>
        <w:rPr>
          <w:rFonts w:hint="eastAsia" w:ascii="方正小标宋简体" w:hAnsi="方正小标宋简体" w:eastAsia="方正小标宋简体" w:cs="方正小标宋简体"/>
          <w:sz w:val="32"/>
          <w:szCs w:val="32"/>
        </w:rPr>
      </w:pPr>
      <w:bookmarkStart w:id="105" w:name="_Toc19897"/>
      <w:bookmarkStart w:id="106" w:name="_Toc2149"/>
    </w:p>
    <w:p w14:paraId="6929300A">
      <w:pPr>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八、其他响应资料</w:t>
      </w:r>
      <w:bookmarkEnd w:id="105"/>
      <w:bookmarkEnd w:id="106"/>
    </w:p>
    <w:p w14:paraId="7B42B22C">
      <w:pPr>
        <w:pStyle w:val="5"/>
        <w:spacing w:after="0" w:line="520" w:lineRule="exact"/>
        <w:rPr>
          <w:rFonts w:ascii="方正小标宋_GBK" w:hAnsi="方正小标宋_GBK" w:eastAsia="方正小标宋_GBK" w:cs="方正小标宋_GBK"/>
          <w:szCs w:val="32"/>
        </w:rPr>
      </w:pPr>
    </w:p>
    <w:p w14:paraId="5A602846">
      <w:pPr>
        <w:spacing w:line="360" w:lineRule="auto"/>
        <w:ind w:firstLine="560" w:firstLineChars="200"/>
        <w:rPr>
          <w:rFonts w:ascii="仿宋_GB2312" w:hAnsi="仿宋_GB2312" w:cs="仿宋_GB2312"/>
          <w:sz w:val="28"/>
          <w:szCs w:val="28"/>
          <w:lang w:bidi="zh-CN"/>
        </w:rPr>
      </w:pPr>
      <w:r>
        <w:rPr>
          <w:rFonts w:hint="eastAsia" w:ascii="仿宋_GB2312" w:hAnsi="仿宋_GB2312" w:cs="仿宋_GB2312"/>
          <w:sz w:val="28"/>
          <w:szCs w:val="28"/>
          <w:lang w:bidi="zh-CN"/>
        </w:rPr>
        <w:t>其他相关证明资料，格式自拟。</w:t>
      </w:r>
    </w:p>
    <w:p w14:paraId="17561277">
      <w:pPr>
        <w:pStyle w:val="5"/>
        <w:spacing w:after="0" w:line="520" w:lineRule="exact"/>
        <w:rPr>
          <w:rFonts w:ascii="仿宋_GB2312" w:hAnsi="仿宋_GB2312" w:cs="仿宋_GB2312"/>
          <w:sz w:val="28"/>
          <w:szCs w:val="28"/>
          <w:lang w:bidi="zh-CN"/>
        </w:rPr>
      </w:pPr>
    </w:p>
    <w:sectPr>
      <w:pgSz w:w="11906" w:h="16838"/>
      <w:pgMar w:top="2098" w:right="1531" w:bottom="2098" w:left="1531" w:header="851" w:footer="992" w:gutter="0"/>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5488B8-9934-4C4E-920F-A2E7114D665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FA445C4-52AD-4166-9287-32467556AD12}"/>
  </w:font>
  <w:font w:name="FangSong_GB2312">
    <w:altName w:val="仿宋_GB2312"/>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3" w:fontKey="{7DA34784-B2E0-4C9E-AA9A-60798D656521}"/>
  </w:font>
  <w:font w:name="方正小标宋简体">
    <w:panose1 w:val="02000000000000000000"/>
    <w:charset w:val="86"/>
    <w:family w:val="auto"/>
    <w:pitch w:val="default"/>
    <w:sig w:usb0="A00002BF" w:usb1="184F6CFA" w:usb2="00000012" w:usb3="00000000" w:csb0="00040001" w:csb1="00000000"/>
    <w:embedRegular r:id="rId4" w:fontKey="{3935F30B-DF2E-4C79-A9CD-8C54E3091115}"/>
  </w:font>
  <w:font w:name="华文中宋">
    <w:panose1 w:val="02010600040101010101"/>
    <w:charset w:val="86"/>
    <w:family w:val="auto"/>
    <w:pitch w:val="default"/>
    <w:sig w:usb0="00000287" w:usb1="080F0000" w:usb2="00000000" w:usb3="00000000" w:csb0="0004009F" w:csb1="DFD70000"/>
    <w:embedRegular r:id="rId5" w:fontKey="{D426404D-C069-4019-90E2-3CAF326AF494}"/>
  </w:font>
  <w:font w:name="方正小标宋_GBK">
    <w:panose1 w:val="02000000000000000000"/>
    <w:charset w:val="86"/>
    <w:family w:val="script"/>
    <w:pitch w:val="default"/>
    <w:sig w:usb0="A00002BF" w:usb1="38CF7CFA" w:usb2="00082016" w:usb3="00000000" w:csb0="00040001" w:csb1="00000000"/>
    <w:embedRegular r:id="rId6" w:fontKey="{2ACF182B-5F63-4D1D-B3E0-FCC687C82EB7}"/>
  </w:font>
  <w:font w:name="楷体">
    <w:panose1 w:val="02010609060101010101"/>
    <w:charset w:val="86"/>
    <w:family w:val="modern"/>
    <w:pitch w:val="default"/>
    <w:sig w:usb0="800002BF" w:usb1="38CF7CFA" w:usb2="00000016" w:usb3="00000000" w:csb0="00040001" w:csb1="00000000"/>
    <w:embedRegular r:id="rId7" w:fontKey="{2DFB3FEC-4980-43B7-AB19-4C04DF3B39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76D0">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F925E">
                          <w:pPr>
                            <w:pStyle w:val="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0F925E">
                    <w:pPr>
                      <w:pStyle w:val="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3FFC">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394A2">
                          <w:pPr>
                            <w:pStyle w:val="8"/>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5394A2">
                    <w:pPr>
                      <w:pStyle w:val="8"/>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CD9F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1B878">
                          <w:pPr>
                            <w:pStyle w:val="8"/>
                          </w:pPr>
                          <w:r>
                            <w:fldChar w:fldCharType="begin"/>
                          </w:r>
                          <w:r>
                            <w:instrText xml:space="preserve"> PAGE  \* MERGEFORMAT </w:instrText>
                          </w:r>
                          <w: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B51B878">
                    <w:pPr>
                      <w:pStyle w:val="8"/>
                    </w:pPr>
                    <w:r>
                      <w:fldChar w:fldCharType="begin"/>
                    </w:r>
                    <w:r>
                      <w:instrText xml:space="preserve"> PAGE  \* MERGEFORMAT </w:instrText>
                    </w:r>
                    <w:r>
                      <w:fldChar w:fldCharType="separate"/>
                    </w:r>
                    <w:r>
                      <w:rPr>
                        <w:rFonts w:hint="eastAsia"/>
                      </w:rP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0C9AF">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7CC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728FA">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6728FA">
                    <w:pPr>
                      <w:pStyle w:val="8"/>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01F44">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BA06F">
                          <w:pPr>
                            <w:pStyle w:val="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1BA06F">
                    <w:pPr>
                      <w:pStyle w:val="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F24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69FE0">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169FE0">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7630">
    <w:pPr>
      <w:spacing w:line="1" w:lineRule="exact"/>
    </w:pPr>
    <w:r>
      <w:rPr>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4FA42">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94FA42">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7BDB">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731D2">
    <w:pPr>
      <w:spacing w:line="1" w:lineRule="exact"/>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6D0D0">
                          <w:pPr>
                            <w:pStyle w:val="8"/>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46D0D0">
                    <w:pPr>
                      <w:pStyle w:val="8"/>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4DC3">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AD51">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FDD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32DFF"/>
    <w:multiLevelType w:val="singleLevel"/>
    <w:tmpl w:val="ABF32DFF"/>
    <w:lvl w:ilvl="0" w:tentative="0">
      <w:start w:val="5"/>
      <w:numFmt w:val="decimal"/>
      <w:suff w:val="nothing"/>
      <w:lvlText w:val="（%1）"/>
      <w:lvlJc w:val="left"/>
    </w:lvl>
  </w:abstractNum>
  <w:abstractNum w:abstractNumId="1">
    <w:nsid w:val="B317C9B8"/>
    <w:multiLevelType w:val="singleLevel"/>
    <w:tmpl w:val="B317C9B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MWI0NWZjZDA0ZDRmNGM1YWM1ZmU1MWQ1MmYzZWYifQ=="/>
  </w:docVars>
  <w:rsids>
    <w:rsidRoot w:val="00172A27"/>
    <w:rsid w:val="00010695"/>
    <w:rsid w:val="0001382B"/>
    <w:rsid w:val="00015A77"/>
    <w:rsid w:val="000216E5"/>
    <w:rsid w:val="0002425E"/>
    <w:rsid w:val="00025CE8"/>
    <w:rsid w:val="00027AF1"/>
    <w:rsid w:val="00030020"/>
    <w:rsid w:val="0003002A"/>
    <w:rsid w:val="0003446E"/>
    <w:rsid w:val="00040845"/>
    <w:rsid w:val="000414E2"/>
    <w:rsid w:val="00041C33"/>
    <w:rsid w:val="0004516C"/>
    <w:rsid w:val="00054668"/>
    <w:rsid w:val="00054945"/>
    <w:rsid w:val="00060DAF"/>
    <w:rsid w:val="000613AA"/>
    <w:rsid w:val="00063FE4"/>
    <w:rsid w:val="00075516"/>
    <w:rsid w:val="0009528B"/>
    <w:rsid w:val="000A3EFC"/>
    <w:rsid w:val="000A785B"/>
    <w:rsid w:val="000B3786"/>
    <w:rsid w:val="000B3AED"/>
    <w:rsid w:val="000B5A6D"/>
    <w:rsid w:val="000B7B1C"/>
    <w:rsid w:val="000B7BD3"/>
    <w:rsid w:val="000C1D85"/>
    <w:rsid w:val="000C33EC"/>
    <w:rsid w:val="000C714C"/>
    <w:rsid w:val="000D0343"/>
    <w:rsid w:val="000E0C7C"/>
    <w:rsid w:val="000E2469"/>
    <w:rsid w:val="000E2D68"/>
    <w:rsid w:val="000E6023"/>
    <w:rsid w:val="000E62DC"/>
    <w:rsid w:val="000E68B8"/>
    <w:rsid w:val="000F1A8A"/>
    <w:rsid w:val="000F7B59"/>
    <w:rsid w:val="00104D1B"/>
    <w:rsid w:val="00131ED4"/>
    <w:rsid w:val="00134DF8"/>
    <w:rsid w:val="001363DC"/>
    <w:rsid w:val="00136D4E"/>
    <w:rsid w:val="00137B43"/>
    <w:rsid w:val="00141A54"/>
    <w:rsid w:val="00143D5F"/>
    <w:rsid w:val="00144028"/>
    <w:rsid w:val="001447D4"/>
    <w:rsid w:val="00145E48"/>
    <w:rsid w:val="00150A57"/>
    <w:rsid w:val="0015101D"/>
    <w:rsid w:val="00151BDD"/>
    <w:rsid w:val="00155835"/>
    <w:rsid w:val="001642CF"/>
    <w:rsid w:val="00165D7B"/>
    <w:rsid w:val="001661EA"/>
    <w:rsid w:val="00166839"/>
    <w:rsid w:val="001676D3"/>
    <w:rsid w:val="00172A27"/>
    <w:rsid w:val="00174B42"/>
    <w:rsid w:val="001773EB"/>
    <w:rsid w:val="0018012E"/>
    <w:rsid w:val="001856E0"/>
    <w:rsid w:val="00186A8B"/>
    <w:rsid w:val="0018771A"/>
    <w:rsid w:val="001936DE"/>
    <w:rsid w:val="00195E9A"/>
    <w:rsid w:val="001963FE"/>
    <w:rsid w:val="001A323F"/>
    <w:rsid w:val="001A7EFB"/>
    <w:rsid w:val="001B1BA2"/>
    <w:rsid w:val="001B4F83"/>
    <w:rsid w:val="001C3244"/>
    <w:rsid w:val="001C71BF"/>
    <w:rsid w:val="001D61AB"/>
    <w:rsid w:val="001E0524"/>
    <w:rsid w:val="001E35CB"/>
    <w:rsid w:val="001E5359"/>
    <w:rsid w:val="001E7A39"/>
    <w:rsid w:val="001F2A06"/>
    <w:rsid w:val="001F4DAA"/>
    <w:rsid w:val="0020296E"/>
    <w:rsid w:val="002051F0"/>
    <w:rsid w:val="00212A1C"/>
    <w:rsid w:val="00213030"/>
    <w:rsid w:val="00224C8B"/>
    <w:rsid w:val="0022626D"/>
    <w:rsid w:val="00244D17"/>
    <w:rsid w:val="00246279"/>
    <w:rsid w:val="0025248C"/>
    <w:rsid w:val="0025439A"/>
    <w:rsid w:val="0025687F"/>
    <w:rsid w:val="00256965"/>
    <w:rsid w:val="00261B3B"/>
    <w:rsid w:val="00263ACB"/>
    <w:rsid w:val="00275374"/>
    <w:rsid w:val="00280482"/>
    <w:rsid w:val="00286A79"/>
    <w:rsid w:val="002A44C7"/>
    <w:rsid w:val="002A4DC5"/>
    <w:rsid w:val="002A5373"/>
    <w:rsid w:val="002A6D54"/>
    <w:rsid w:val="002A7A01"/>
    <w:rsid w:val="002B0CD1"/>
    <w:rsid w:val="002B3C54"/>
    <w:rsid w:val="002C0707"/>
    <w:rsid w:val="002C0CD0"/>
    <w:rsid w:val="002C2BA3"/>
    <w:rsid w:val="002C3B6A"/>
    <w:rsid w:val="002D18EB"/>
    <w:rsid w:val="002D5730"/>
    <w:rsid w:val="002E4661"/>
    <w:rsid w:val="002F14E8"/>
    <w:rsid w:val="002F57B6"/>
    <w:rsid w:val="002F6E45"/>
    <w:rsid w:val="00305D80"/>
    <w:rsid w:val="00307B3E"/>
    <w:rsid w:val="00314A5A"/>
    <w:rsid w:val="00317C28"/>
    <w:rsid w:val="003232FF"/>
    <w:rsid w:val="003339F9"/>
    <w:rsid w:val="00333B90"/>
    <w:rsid w:val="00340AD5"/>
    <w:rsid w:val="00341DD3"/>
    <w:rsid w:val="0034327D"/>
    <w:rsid w:val="00344B1F"/>
    <w:rsid w:val="00345B24"/>
    <w:rsid w:val="003512E3"/>
    <w:rsid w:val="0035213B"/>
    <w:rsid w:val="003521AC"/>
    <w:rsid w:val="00357543"/>
    <w:rsid w:val="00357C41"/>
    <w:rsid w:val="003634BD"/>
    <w:rsid w:val="003641B7"/>
    <w:rsid w:val="00366143"/>
    <w:rsid w:val="00367738"/>
    <w:rsid w:val="00370BC7"/>
    <w:rsid w:val="00371B9C"/>
    <w:rsid w:val="003734C4"/>
    <w:rsid w:val="00377A6A"/>
    <w:rsid w:val="00386532"/>
    <w:rsid w:val="00392766"/>
    <w:rsid w:val="00396F29"/>
    <w:rsid w:val="003A4E2B"/>
    <w:rsid w:val="003A6707"/>
    <w:rsid w:val="003B05C8"/>
    <w:rsid w:val="003B5EC7"/>
    <w:rsid w:val="003B6324"/>
    <w:rsid w:val="003B781F"/>
    <w:rsid w:val="003C0BB4"/>
    <w:rsid w:val="003C5A14"/>
    <w:rsid w:val="003C79B3"/>
    <w:rsid w:val="003D266B"/>
    <w:rsid w:val="003D3882"/>
    <w:rsid w:val="003D4B0D"/>
    <w:rsid w:val="003D7FF6"/>
    <w:rsid w:val="003E0F33"/>
    <w:rsid w:val="003E14B0"/>
    <w:rsid w:val="003E275F"/>
    <w:rsid w:val="003E41E6"/>
    <w:rsid w:val="003E5E78"/>
    <w:rsid w:val="0040511E"/>
    <w:rsid w:val="00421E25"/>
    <w:rsid w:val="00422249"/>
    <w:rsid w:val="00422F49"/>
    <w:rsid w:val="00423A8F"/>
    <w:rsid w:val="00424809"/>
    <w:rsid w:val="00431089"/>
    <w:rsid w:val="00432A90"/>
    <w:rsid w:val="00437740"/>
    <w:rsid w:val="004418C4"/>
    <w:rsid w:val="004458F6"/>
    <w:rsid w:val="00450461"/>
    <w:rsid w:val="00452B5B"/>
    <w:rsid w:val="00456363"/>
    <w:rsid w:val="00460C7B"/>
    <w:rsid w:val="00465643"/>
    <w:rsid w:val="00466D97"/>
    <w:rsid w:val="00473E92"/>
    <w:rsid w:val="00482BCF"/>
    <w:rsid w:val="00483259"/>
    <w:rsid w:val="0048533F"/>
    <w:rsid w:val="00487678"/>
    <w:rsid w:val="004A4241"/>
    <w:rsid w:val="004B4307"/>
    <w:rsid w:val="004B5732"/>
    <w:rsid w:val="004C5927"/>
    <w:rsid w:val="004C6B17"/>
    <w:rsid w:val="004E7A08"/>
    <w:rsid w:val="004F1FF9"/>
    <w:rsid w:val="005020A8"/>
    <w:rsid w:val="005039BF"/>
    <w:rsid w:val="00505D91"/>
    <w:rsid w:val="005107F3"/>
    <w:rsid w:val="0051386B"/>
    <w:rsid w:val="005151F3"/>
    <w:rsid w:val="00522FD5"/>
    <w:rsid w:val="00530CA6"/>
    <w:rsid w:val="0053269C"/>
    <w:rsid w:val="00533381"/>
    <w:rsid w:val="00536662"/>
    <w:rsid w:val="005421E6"/>
    <w:rsid w:val="0054413F"/>
    <w:rsid w:val="005549DB"/>
    <w:rsid w:val="00555BD5"/>
    <w:rsid w:val="005563D6"/>
    <w:rsid w:val="00562435"/>
    <w:rsid w:val="005647F0"/>
    <w:rsid w:val="005739A9"/>
    <w:rsid w:val="00573D8E"/>
    <w:rsid w:val="005810DF"/>
    <w:rsid w:val="00581735"/>
    <w:rsid w:val="0058179D"/>
    <w:rsid w:val="00581F78"/>
    <w:rsid w:val="00583E07"/>
    <w:rsid w:val="00585136"/>
    <w:rsid w:val="005904D9"/>
    <w:rsid w:val="00595BFF"/>
    <w:rsid w:val="005962E9"/>
    <w:rsid w:val="00596527"/>
    <w:rsid w:val="005A2EF8"/>
    <w:rsid w:val="005A30DB"/>
    <w:rsid w:val="005A52C7"/>
    <w:rsid w:val="005B300E"/>
    <w:rsid w:val="005C1C3E"/>
    <w:rsid w:val="005C7BB4"/>
    <w:rsid w:val="005D032D"/>
    <w:rsid w:val="005D170C"/>
    <w:rsid w:val="005D5814"/>
    <w:rsid w:val="005E1EA9"/>
    <w:rsid w:val="005E670C"/>
    <w:rsid w:val="005E70F8"/>
    <w:rsid w:val="005E7351"/>
    <w:rsid w:val="005F6509"/>
    <w:rsid w:val="006175A1"/>
    <w:rsid w:val="0063164F"/>
    <w:rsid w:val="00635098"/>
    <w:rsid w:val="00636834"/>
    <w:rsid w:val="00640884"/>
    <w:rsid w:val="00651AEB"/>
    <w:rsid w:val="00653406"/>
    <w:rsid w:val="006541EF"/>
    <w:rsid w:val="00655FA3"/>
    <w:rsid w:val="00657BA9"/>
    <w:rsid w:val="00664DDD"/>
    <w:rsid w:val="0066514A"/>
    <w:rsid w:val="006659A1"/>
    <w:rsid w:val="00670B15"/>
    <w:rsid w:val="0067608B"/>
    <w:rsid w:val="00677965"/>
    <w:rsid w:val="006818B9"/>
    <w:rsid w:val="006822BB"/>
    <w:rsid w:val="00687F7D"/>
    <w:rsid w:val="0069162C"/>
    <w:rsid w:val="00693178"/>
    <w:rsid w:val="00694690"/>
    <w:rsid w:val="0069488C"/>
    <w:rsid w:val="006D2241"/>
    <w:rsid w:val="006D2E88"/>
    <w:rsid w:val="006D46AF"/>
    <w:rsid w:val="006D66F5"/>
    <w:rsid w:val="006F32B4"/>
    <w:rsid w:val="006F63FB"/>
    <w:rsid w:val="006F6FC3"/>
    <w:rsid w:val="00700325"/>
    <w:rsid w:val="00700593"/>
    <w:rsid w:val="00706D6A"/>
    <w:rsid w:val="00720FC8"/>
    <w:rsid w:val="00720FE9"/>
    <w:rsid w:val="00732BFF"/>
    <w:rsid w:val="00732F8A"/>
    <w:rsid w:val="00734B2A"/>
    <w:rsid w:val="00737B53"/>
    <w:rsid w:val="00750168"/>
    <w:rsid w:val="00752A82"/>
    <w:rsid w:val="00754451"/>
    <w:rsid w:val="00761F58"/>
    <w:rsid w:val="00771537"/>
    <w:rsid w:val="0077222B"/>
    <w:rsid w:val="00775858"/>
    <w:rsid w:val="00776D15"/>
    <w:rsid w:val="0077772E"/>
    <w:rsid w:val="00784B5D"/>
    <w:rsid w:val="00786671"/>
    <w:rsid w:val="00791050"/>
    <w:rsid w:val="007A14E0"/>
    <w:rsid w:val="007B216F"/>
    <w:rsid w:val="007B3FA3"/>
    <w:rsid w:val="007B4D6D"/>
    <w:rsid w:val="007B5E4A"/>
    <w:rsid w:val="007D3FF1"/>
    <w:rsid w:val="007D6053"/>
    <w:rsid w:val="007E31D8"/>
    <w:rsid w:val="007F4E32"/>
    <w:rsid w:val="007F7AF0"/>
    <w:rsid w:val="0080120A"/>
    <w:rsid w:val="0080198F"/>
    <w:rsid w:val="008071C6"/>
    <w:rsid w:val="00807BC4"/>
    <w:rsid w:val="0081663A"/>
    <w:rsid w:val="008205DC"/>
    <w:rsid w:val="0082271A"/>
    <w:rsid w:val="00822DFB"/>
    <w:rsid w:val="0083022B"/>
    <w:rsid w:val="008440A5"/>
    <w:rsid w:val="00852276"/>
    <w:rsid w:val="00852584"/>
    <w:rsid w:val="00860342"/>
    <w:rsid w:val="008604A9"/>
    <w:rsid w:val="0087209E"/>
    <w:rsid w:val="00875E4C"/>
    <w:rsid w:val="00886BBC"/>
    <w:rsid w:val="00892186"/>
    <w:rsid w:val="00895C64"/>
    <w:rsid w:val="008A2E4F"/>
    <w:rsid w:val="008A5692"/>
    <w:rsid w:val="008A6DB1"/>
    <w:rsid w:val="008B22A8"/>
    <w:rsid w:val="008B67C3"/>
    <w:rsid w:val="008C5046"/>
    <w:rsid w:val="008D022D"/>
    <w:rsid w:val="008D6843"/>
    <w:rsid w:val="008E05D5"/>
    <w:rsid w:val="008E0653"/>
    <w:rsid w:val="008E4D23"/>
    <w:rsid w:val="008E61B3"/>
    <w:rsid w:val="008E7EF0"/>
    <w:rsid w:val="008F19FB"/>
    <w:rsid w:val="008F53E8"/>
    <w:rsid w:val="0090442D"/>
    <w:rsid w:val="009104C4"/>
    <w:rsid w:val="00912511"/>
    <w:rsid w:val="00917EE9"/>
    <w:rsid w:val="009201B5"/>
    <w:rsid w:val="00924F9A"/>
    <w:rsid w:val="009264D3"/>
    <w:rsid w:val="009272BF"/>
    <w:rsid w:val="00931710"/>
    <w:rsid w:val="00945A94"/>
    <w:rsid w:val="0095048E"/>
    <w:rsid w:val="009544D1"/>
    <w:rsid w:val="00956537"/>
    <w:rsid w:val="00961B21"/>
    <w:rsid w:val="009649D4"/>
    <w:rsid w:val="00976689"/>
    <w:rsid w:val="00980AF3"/>
    <w:rsid w:val="00987B5B"/>
    <w:rsid w:val="009905D7"/>
    <w:rsid w:val="00990D46"/>
    <w:rsid w:val="00992093"/>
    <w:rsid w:val="009970DF"/>
    <w:rsid w:val="009A105B"/>
    <w:rsid w:val="009A61A9"/>
    <w:rsid w:val="009B3C13"/>
    <w:rsid w:val="009B485F"/>
    <w:rsid w:val="009B5AB1"/>
    <w:rsid w:val="009B6E9C"/>
    <w:rsid w:val="009B71CB"/>
    <w:rsid w:val="009C33F1"/>
    <w:rsid w:val="009C43C4"/>
    <w:rsid w:val="009C49B2"/>
    <w:rsid w:val="009D2C48"/>
    <w:rsid w:val="009D774D"/>
    <w:rsid w:val="009E7999"/>
    <w:rsid w:val="009F00DE"/>
    <w:rsid w:val="009F09E8"/>
    <w:rsid w:val="009F33BF"/>
    <w:rsid w:val="009F7A6B"/>
    <w:rsid w:val="00A002D4"/>
    <w:rsid w:val="00A10F38"/>
    <w:rsid w:val="00A11646"/>
    <w:rsid w:val="00A175AE"/>
    <w:rsid w:val="00A200F6"/>
    <w:rsid w:val="00A31682"/>
    <w:rsid w:val="00A37D33"/>
    <w:rsid w:val="00A41BF7"/>
    <w:rsid w:val="00A4506B"/>
    <w:rsid w:val="00A4614B"/>
    <w:rsid w:val="00A6346C"/>
    <w:rsid w:val="00A712D9"/>
    <w:rsid w:val="00A76985"/>
    <w:rsid w:val="00A90142"/>
    <w:rsid w:val="00A90823"/>
    <w:rsid w:val="00A9088B"/>
    <w:rsid w:val="00A93701"/>
    <w:rsid w:val="00AA11BA"/>
    <w:rsid w:val="00AA7631"/>
    <w:rsid w:val="00AB2B68"/>
    <w:rsid w:val="00AB74D9"/>
    <w:rsid w:val="00AC4CC7"/>
    <w:rsid w:val="00AC6D9D"/>
    <w:rsid w:val="00AC6DA9"/>
    <w:rsid w:val="00AC6E47"/>
    <w:rsid w:val="00AD17A8"/>
    <w:rsid w:val="00AD2882"/>
    <w:rsid w:val="00AD76B8"/>
    <w:rsid w:val="00AE0CFF"/>
    <w:rsid w:val="00AE1A75"/>
    <w:rsid w:val="00AE3C0F"/>
    <w:rsid w:val="00AF270F"/>
    <w:rsid w:val="00AF625F"/>
    <w:rsid w:val="00B054AA"/>
    <w:rsid w:val="00B16F88"/>
    <w:rsid w:val="00B24920"/>
    <w:rsid w:val="00B27C5E"/>
    <w:rsid w:val="00B34A44"/>
    <w:rsid w:val="00B3509B"/>
    <w:rsid w:val="00B373CF"/>
    <w:rsid w:val="00B37BC2"/>
    <w:rsid w:val="00B42F5C"/>
    <w:rsid w:val="00B43047"/>
    <w:rsid w:val="00B46DED"/>
    <w:rsid w:val="00B47973"/>
    <w:rsid w:val="00B537E4"/>
    <w:rsid w:val="00B55039"/>
    <w:rsid w:val="00B57441"/>
    <w:rsid w:val="00B66E4C"/>
    <w:rsid w:val="00B70E77"/>
    <w:rsid w:val="00B7659E"/>
    <w:rsid w:val="00B76722"/>
    <w:rsid w:val="00B816E2"/>
    <w:rsid w:val="00B82872"/>
    <w:rsid w:val="00B851AA"/>
    <w:rsid w:val="00B903EF"/>
    <w:rsid w:val="00B96BA0"/>
    <w:rsid w:val="00BA2670"/>
    <w:rsid w:val="00BA7CCE"/>
    <w:rsid w:val="00BB0C60"/>
    <w:rsid w:val="00BB20EE"/>
    <w:rsid w:val="00BB4CF5"/>
    <w:rsid w:val="00BC1BFA"/>
    <w:rsid w:val="00BC7371"/>
    <w:rsid w:val="00BD04AC"/>
    <w:rsid w:val="00BD138C"/>
    <w:rsid w:val="00BD1831"/>
    <w:rsid w:val="00BD3140"/>
    <w:rsid w:val="00BD3FAA"/>
    <w:rsid w:val="00BD4499"/>
    <w:rsid w:val="00BD5F58"/>
    <w:rsid w:val="00BD5F83"/>
    <w:rsid w:val="00BD70F6"/>
    <w:rsid w:val="00BD787A"/>
    <w:rsid w:val="00BE5091"/>
    <w:rsid w:val="00BF0EE0"/>
    <w:rsid w:val="00C03948"/>
    <w:rsid w:val="00C049EB"/>
    <w:rsid w:val="00C06DD0"/>
    <w:rsid w:val="00C1266B"/>
    <w:rsid w:val="00C1770D"/>
    <w:rsid w:val="00C2074E"/>
    <w:rsid w:val="00C252AF"/>
    <w:rsid w:val="00C30D08"/>
    <w:rsid w:val="00C33CF1"/>
    <w:rsid w:val="00C40978"/>
    <w:rsid w:val="00C40C73"/>
    <w:rsid w:val="00C47002"/>
    <w:rsid w:val="00C518A1"/>
    <w:rsid w:val="00C533F8"/>
    <w:rsid w:val="00C5659E"/>
    <w:rsid w:val="00C610DD"/>
    <w:rsid w:val="00C70D16"/>
    <w:rsid w:val="00C76C5B"/>
    <w:rsid w:val="00C80149"/>
    <w:rsid w:val="00C8318A"/>
    <w:rsid w:val="00C8376A"/>
    <w:rsid w:val="00C85EFD"/>
    <w:rsid w:val="00C91300"/>
    <w:rsid w:val="00C93C31"/>
    <w:rsid w:val="00CA01F7"/>
    <w:rsid w:val="00CA0D11"/>
    <w:rsid w:val="00CA5925"/>
    <w:rsid w:val="00CA7C78"/>
    <w:rsid w:val="00CC089F"/>
    <w:rsid w:val="00CC0BF7"/>
    <w:rsid w:val="00CC22A8"/>
    <w:rsid w:val="00CC31A3"/>
    <w:rsid w:val="00CC4FA2"/>
    <w:rsid w:val="00CC6203"/>
    <w:rsid w:val="00CD2F9C"/>
    <w:rsid w:val="00CD38F0"/>
    <w:rsid w:val="00CE0579"/>
    <w:rsid w:val="00CE4484"/>
    <w:rsid w:val="00CF3A18"/>
    <w:rsid w:val="00CF7FFB"/>
    <w:rsid w:val="00D11DD5"/>
    <w:rsid w:val="00D15219"/>
    <w:rsid w:val="00D16AA3"/>
    <w:rsid w:val="00D16E89"/>
    <w:rsid w:val="00D264F3"/>
    <w:rsid w:val="00D31D04"/>
    <w:rsid w:val="00D32239"/>
    <w:rsid w:val="00D521F2"/>
    <w:rsid w:val="00D61EB2"/>
    <w:rsid w:val="00D629A2"/>
    <w:rsid w:val="00D656D9"/>
    <w:rsid w:val="00D674E5"/>
    <w:rsid w:val="00D70B33"/>
    <w:rsid w:val="00D72D41"/>
    <w:rsid w:val="00D74604"/>
    <w:rsid w:val="00D754F1"/>
    <w:rsid w:val="00D75E22"/>
    <w:rsid w:val="00D7744D"/>
    <w:rsid w:val="00D810BA"/>
    <w:rsid w:val="00D92C99"/>
    <w:rsid w:val="00D92FAB"/>
    <w:rsid w:val="00D94D6F"/>
    <w:rsid w:val="00DA13E4"/>
    <w:rsid w:val="00DA1CCC"/>
    <w:rsid w:val="00DA35AA"/>
    <w:rsid w:val="00DA415B"/>
    <w:rsid w:val="00DB0645"/>
    <w:rsid w:val="00DB124C"/>
    <w:rsid w:val="00DC03BA"/>
    <w:rsid w:val="00DC2C17"/>
    <w:rsid w:val="00DC6AF5"/>
    <w:rsid w:val="00DD08C4"/>
    <w:rsid w:val="00DD291E"/>
    <w:rsid w:val="00DD33FA"/>
    <w:rsid w:val="00DD63DB"/>
    <w:rsid w:val="00DE5A53"/>
    <w:rsid w:val="00DE69B7"/>
    <w:rsid w:val="00DE73A7"/>
    <w:rsid w:val="00DF37F8"/>
    <w:rsid w:val="00DF41CB"/>
    <w:rsid w:val="00DF4EE8"/>
    <w:rsid w:val="00DF4FC1"/>
    <w:rsid w:val="00DF7103"/>
    <w:rsid w:val="00DF7B88"/>
    <w:rsid w:val="00E00609"/>
    <w:rsid w:val="00E100E3"/>
    <w:rsid w:val="00E11068"/>
    <w:rsid w:val="00E23719"/>
    <w:rsid w:val="00E3213B"/>
    <w:rsid w:val="00E342D2"/>
    <w:rsid w:val="00E40EE6"/>
    <w:rsid w:val="00E44313"/>
    <w:rsid w:val="00E46618"/>
    <w:rsid w:val="00E5226B"/>
    <w:rsid w:val="00E545D6"/>
    <w:rsid w:val="00E55868"/>
    <w:rsid w:val="00E641A1"/>
    <w:rsid w:val="00E703D8"/>
    <w:rsid w:val="00E71852"/>
    <w:rsid w:val="00E72223"/>
    <w:rsid w:val="00E724A1"/>
    <w:rsid w:val="00E76ABB"/>
    <w:rsid w:val="00E81D58"/>
    <w:rsid w:val="00E84D5B"/>
    <w:rsid w:val="00E906E2"/>
    <w:rsid w:val="00E90D2C"/>
    <w:rsid w:val="00E96820"/>
    <w:rsid w:val="00EA15FE"/>
    <w:rsid w:val="00EA7B90"/>
    <w:rsid w:val="00EA7E98"/>
    <w:rsid w:val="00EB0D3E"/>
    <w:rsid w:val="00EB15EB"/>
    <w:rsid w:val="00EB4E14"/>
    <w:rsid w:val="00EC1C92"/>
    <w:rsid w:val="00EC4894"/>
    <w:rsid w:val="00EC48C9"/>
    <w:rsid w:val="00ED400A"/>
    <w:rsid w:val="00ED62C9"/>
    <w:rsid w:val="00EE3CEC"/>
    <w:rsid w:val="00EE781A"/>
    <w:rsid w:val="00EF010D"/>
    <w:rsid w:val="00F014D6"/>
    <w:rsid w:val="00F06C81"/>
    <w:rsid w:val="00F10D89"/>
    <w:rsid w:val="00F12367"/>
    <w:rsid w:val="00F15CE5"/>
    <w:rsid w:val="00F1790D"/>
    <w:rsid w:val="00F2191A"/>
    <w:rsid w:val="00F22C05"/>
    <w:rsid w:val="00F25159"/>
    <w:rsid w:val="00F33EA8"/>
    <w:rsid w:val="00F3706D"/>
    <w:rsid w:val="00F3742A"/>
    <w:rsid w:val="00F4205C"/>
    <w:rsid w:val="00F4652F"/>
    <w:rsid w:val="00F552D5"/>
    <w:rsid w:val="00F57042"/>
    <w:rsid w:val="00F62CAC"/>
    <w:rsid w:val="00F67AB6"/>
    <w:rsid w:val="00F70470"/>
    <w:rsid w:val="00F7105F"/>
    <w:rsid w:val="00F72B2F"/>
    <w:rsid w:val="00F854F8"/>
    <w:rsid w:val="00F87029"/>
    <w:rsid w:val="00F938C6"/>
    <w:rsid w:val="00FA0555"/>
    <w:rsid w:val="00FA549E"/>
    <w:rsid w:val="00FA6884"/>
    <w:rsid w:val="00FC0EB3"/>
    <w:rsid w:val="00FD00E9"/>
    <w:rsid w:val="00FD0479"/>
    <w:rsid w:val="00FD08E5"/>
    <w:rsid w:val="00FD5850"/>
    <w:rsid w:val="00FD7EC2"/>
    <w:rsid w:val="00FE4B5D"/>
    <w:rsid w:val="00FF217F"/>
    <w:rsid w:val="012E3726"/>
    <w:rsid w:val="0167398B"/>
    <w:rsid w:val="016B5723"/>
    <w:rsid w:val="01C43C76"/>
    <w:rsid w:val="02CC0669"/>
    <w:rsid w:val="06B81D95"/>
    <w:rsid w:val="077E7B77"/>
    <w:rsid w:val="07C17813"/>
    <w:rsid w:val="080E35E0"/>
    <w:rsid w:val="09A84B40"/>
    <w:rsid w:val="0A1A6B5C"/>
    <w:rsid w:val="0B2251A2"/>
    <w:rsid w:val="0B943000"/>
    <w:rsid w:val="0D331A9D"/>
    <w:rsid w:val="0D892EDB"/>
    <w:rsid w:val="0E896EE5"/>
    <w:rsid w:val="0EC849FA"/>
    <w:rsid w:val="0EDE0306"/>
    <w:rsid w:val="0EFF25BB"/>
    <w:rsid w:val="0F0478B0"/>
    <w:rsid w:val="101316CB"/>
    <w:rsid w:val="107F7B07"/>
    <w:rsid w:val="11AF7969"/>
    <w:rsid w:val="11CC5399"/>
    <w:rsid w:val="13305E48"/>
    <w:rsid w:val="13455DC4"/>
    <w:rsid w:val="14212B8F"/>
    <w:rsid w:val="1470421C"/>
    <w:rsid w:val="14B41BFD"/>
    <w:rsid w:val="155B00AA"/>
    <w:rsid w:val="15DC3BBC"/>
    <w:rsid w:val="15F97DA2"/>
    <w:rsid w:val="17020AE3"/>
    <w:rsid w:val="19224837"/>
    <w:rsid w:val="193E3980"/>
    <w:rsid w:val="1A1C4D3B"/>
    <w:rsid w:val="1A7A053B"/>
    <w:rsid w:val="1A861C4B"/>
    <w:rsid w:val="1AF66758"/>
    <w:rsid w:val="1DC150B7"/>
    <w:rsid w:val="1DD558F0"/>
    <w:rsid w:val="1E9D39E5"/>
    <w:rsid w:val="1FC46C11"/>
    <w:rsid w:val="21244F9D"/>
    <w:rsid w:val="230D70FD"/>
    <w:rsid w:val="23F46EA8"/>
    <w:rsid w:val="24AA5739"/>
    <w:rsid w:val="255D745E"/>
    <w:rsid w:val="25695674"/>
    <w:rsid w:val="273700C2"/>
    <w:rsid w:val="281A7519"/>
    <w:rsid w:val="28994707"/>
    <w:rsid w:val="28A05EB6"/>
    <w:rsid w:val="28A23518"/>
    <w:rsid w:val="2B786D25"/>
    <w:rsid w:val="2BB502AD"/>
    <w:rsid w:val="2BF217F9"/>
    <w:rsid w:val="2E1D349F"/>
    <w:rsid w:val="302A3C11"/>
    <w:rsid w:val="30607006"/>
    <w:rsid w:val="30BB0E44"/>
    <w:rsid w:val="33241223"/>
    <w:rsid w:val="33D554F5"/>
    <w:rsid w:val="365A344D"/>
    <w:rsid w:val="37774ACD"/>
    <w:rsid w:val="37DD6C56"/>
    <w:rsid w:val="383B5369"/>
    <w:rsid w:val="387833CC"/>
    <w:rsid w:val="3AC86541"/>
    <w:rsid w:val="3C2E135C"/>
    <w:rsid w:val="3C54059B"/>
    <w:rsid w:val="3C9A783D"/>
    <w:rsid w:val="3E075DA6"/>
    <w:rsid w:val="3F4826BB"/>
    <w:rsid w:val="40DC698D"/>
    <w:rsid w:val="41080E1C"/>
    <w:rsid w:val="42597ADD"/>
    <w:rsid w:val="42772D26"/>
    <w:rsid w:val="42FC76D0"/>
    <w:rsid w:val="43C56B7A"/>
    <w:rsid w:val="4456696C"/>
    <w:rsid w:val="4498417F"/>
    <w:rsid w:val="479F062A"/>
    <w:rsid w:val="48C22B68"/>
    <w:rsid w:val="4A6A4541"/>
    <w:rsid w:val="4AAC5537"/>
    <w:rsid w:val="4CAA5DCE"/>
    <w:rsid w:val="4D0201D0"/>
    <w:rsid w:val="4D6C2A33"/>
    <w:rsid w:val="4E03346F"/>
    <w:rsid w:val="4F6100A4"/>
    <w:rsid w:val="50080ECC"/>
    <w:rsid w:val="50276143"/>
    <w:rsid w:val="51BE0D31"/>
    <w:rsid w:val="51F44DA6"/>
    <w:rsid w:val="51FE51D2"/>
    <w:rsid w:val="537F7C8D"/>
    <w:rsid w:val="53AD7D9F"/>
    <w:rsid w:val="55766307"/>
    <w:rsid w:val="55C622F8"/>
    <w:rsid w:val="56115601"/>
    <w:rsid w:val="566C32CC"/>
    <w:rsid w:val="575136EE"/>
    <w:rsid w:val="5A437DF3"/>
    <w:rsid w:val="5AF74329"/>
    <w:rsid w:val="5C002A02"/>
    <w:rsid w:val="5C480EEE"/>
    <w:rsid w:val="5DE645E9"/>
    <w:rsid w:val="5F406171"/>
    <w:rsid w:val="5F9A7BFD"/>
    <w:rsid w:val="60792FA8"/>
    <w:rsid w:val="61115646"/>
    <w:rsid w:val="620F4693"/>
    <w:rsid w:val="649D1B21"/>
    <w:rsid w:val="64A560D1"/>
    <w:rsid w:val="65174A38"/>
    <w:rsid w:val="65A6262A"/>
    <w:rsid w:val="666E1D42"/>
    <w:rsid w:val="676A5780"/>
    <w:rsid w:val="692C5B75"/>
    <w:rsid w:val="6A4964A7"/>
    <w:rsid w:val="6A670BF3"/>
    <w:rsid w:val="6B6537B4"/>
    <w:rsid w:val="6C2E5530"/>
    <w:rsid w:val="6CA35B30"/>
    <w:rsid w:val="6CD85DD2"/>
    <w:rsid w:val="6D2B48DF"/>
    <w:rsid w:val="700510C2"/>
    <w:rsid w:val="711A2648"/>
    <w:rsid w:val="714776D5"/>
    <w:rsid w:val="71A5415A"/>
    <w:rsid w:val="724F7C79"/>
    <w:rsid w:val="73593BFF"/>
    <w:rsid w:val="73F368E5"/>
    <w:rsid w:val="743027A5"/>
    <w:rsid w:val="74A83437"/>
    <w:rsid w:val="751B2CF1"/>
    <w:rsid w:val="762C54EE"/>
    <w:rsid w:val="76EE4923"/>
    <w:rsid w:val="77C6076A"/>
    <w:rsid w:val="79955265"/>
    <w:rsid w:val="7A270AA9"/>
    <w:rsid w:val="7A9C041A"/>
    <w:rsid w:val="7C4747BF"/>
    <w:rsid w:val="7DCA721C"/>
    <w:rsid w:val="7E342661"/>
    <w:rsid w:val="7F3D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autoRedefine/>
    <w:qFormat/>
    <w:uiPriority w:val="0"/>
    <w:pPr>
      <w:keepNext/>
      <w:keepLines/>
      <w:spacing w:line="578" w:lineRule="auto"/>
      <w:outlineLvl w:val="0"/>
    </w:pPr>
    <w:rPr>
      <w:rFonts w:ascii="Times New Roman" w:hAnsi="Times New Roman"/>
      <w:b/>
      <w:bCs/>
      <w:kern w:val="44"/>
      <w:sz w:val="44"/>
      <w:szCs w:val="44"/>
    </w:rPr>
  </w:style>
  <w:style w:type="paragraph" w:styleId="3">
    <w:name w:val="heading 4"/>
    <w:basedOn w:val="1"/>
    <w:next w:val="1"/>
    <w:autoRedefine/>
    <w:qFormat/>
    <w:uiPriority w:val="0"/>
    <w:pPr>
      <w:outlineLvl w:val="3"/>
    </w:pPr>
    <w:rPr>
      <w:rFonts w:ascii="宋体"/>
      <w:sz w:val="28"/>
    </w:rPr>
  </w:style>
  <w:style w:type="paragraph" w:styleId="4">
    <w:name w:val="heading 5"/>
    <w:basedOn w:val="1"/>
    <w:next w:val="1"/>
    <w:autoRedefine/>
    <w:qFormat/>
    <w:uiPriority w:val="1"/>
    <w:pPr>
      <w:spacing w:before="1"/>
      <w:ind w:left="700"/>
      <w:outlineLvl w:val="4"/>
    </w:pPr>
    <w:rPr>
      <w:rFonts w:ascii="宋体" w:hAnsi="宋体" w:eastAsia="宋体" w:cs="宋体"/>
      <w:b/>
      <w:bCs/>
      <w:sz w:val="24"/>
      <w:szCs w:val="24"/>
      <w:lang w:val="zh-CN" w:bidi="zh-CN"/>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qFormat/>
    <w:uiPriority w:val="99"/>
    <w:pPr>
      <w:spacing w:after="120"/>
    </w:pPr>
  </w:style>
  <w:style w:type="paragraph" w:styleId="6">
    <w:name w:val="Body Text Indent"/>
    <w:basedOn w:val="1"/>
    <w:qFormat/>
    <w:uiPriority w:val="0"/>
    <w:pPr>
      <w:ind w:left="420" w:leftChars="200"/>
    </w:pPr>
  </w:style>
  <w:style w:type="paragraph" w:styleId="7">
    <w:name w:val="Balloon Text"/>
    <w:basedOn w:val="1"/>
    <w:link w:val="23"/>
    <w:qFormat/>
    <w:uiPriority w:val="0"/>
    <w:rPr>
      <w:sz w:val="18"/>
      <w:szCs w:val="18"/>
    </w:rPr>
  </w:style>
  <w:style w:type="paragraph" w:styleId="8">
    <w:name w:val="footer"/>
    <w:basedOn w:val="1"/>
    <w:link w:val="33"/>
    <w:autoRedefine/>
    <w:qFormat/>
    <w:uiPriority w:val="99"/>
    <w:pPr>
      <w:tabs>
        <w:tab w:val="center" w:pos="4153"/>
        <w:tab w:val="right" w:pos="8306"/>
      </w:tabs>
      <w:snapToGrid w:val="0"/>
      <w:jc w:val="left"/>
    </w:pPr>
    <w:rPr>
      <w:rFonts w:ascii="Times New Roman" w:hAnsi="Times New Roman"/>
      <w:sz w:val="18"/>
      <w:szCs w:val="18"/>
    </w:rPr>
  </w:style>
  <w:style w:type="paragraph" w:styleId="9">
    <w:name w:val="header"/>
    <w:basedOn w:val="1"/>
    <w:link w:val="32"/>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toc 1"/>
    <w:basedOn w:val="1"/>
    <w:next w:val="1"/>
    <w:autoRedefine/>
    <w:qFormat/>
    <w:uiPriority w:val="0"/>
  </w:style>
  <w:style w:type="paragraph" w:styleId="11">
    <w:name w:val="Body Text Indent 3"/>
    <w:basedOn w:val="1"/>
    <w:autoRedefine/>
    <w:qFormat/>
    <w:uiPriority w:val="0"/>
    <w:pPr>
      <w:spacing w:line="400" w:lineRule="exact"/>
      <w:ind w:firstLine="560" w:firstLineChars="200"/>
      <w:jc w:val="left"/>
    </w:pPr>
    <w:rPr>
      <w:rFonts w:ascii="仿宋_GB2312"/>
      <w:sz w:val="28"/>
    </w:rPr>
  </w:style>
  <w:style w:type="paragraph" w:styleId="12">
    <w:name w:val="Normal (Web)"/>
    <w:basedOn w:val="1"/>
    <w:autoRedefine/>
    <w:qFormat/>
    <w:uiPriority w:val="99"/>
    <w:pPr>
      <w:spacing w:beforeAutospacing="1" w:afterAutospacing="1"/>
      <w:jc w:val="left"/>
    </w:pPr>
    <w:rPr>
      <w:kern w:val="0"/>
      <w:sz w:val="24"/>
    </w:rPr>
  </w:style>
  <w:style w:type="paragraph" w:styleId="13">
    <w:name w:val="Body Text First Indent 2"/>
    <w:basedOn w:val="6"/>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0"/>
    <w:rPr>
      <w:b/>
    </w:rPr>
  </w:style>
  <w:style w:type="character" w:styleId="18">
    <w:name w:val="footnote reference"/>
    <w:autoRedefine/>
    <w:qFormat/>
    <w:uiPriority w:val="99"/>
    <w:rPr>
      <w:vertAlign w:val="superscript"/>
    </w:rPr>
  </w:style>
  <w:style w:type="paragraph" w:customStyle="1" w:styleId="19">
    <w:name w:val="首行缩进"/>
    <w:basedOn w:val="1"/>
    <w:autoRedefine/>
    <w:qFormat/>
    <w:uiPriority w:val="0"/>
    <w:pPr>
      <w:ind w:firstLine="480" w:firstLineChars="200"/>
    </w:pPr>
    <w:rPr>
      <w:szCs w:val="20"/>
      <w:lang w:val="zh-CN"/>
    </w:rPr>
  </w:style>
  <w:style w:type="paragraph" w:customStyle="1" w:styleId="20">
    <w:name w:val="WPSOffice手动目录 1"/>
    <w:autoRedefine/>
    <w:qFormat/>
    <w:uiPriority w:val="0"/>
    <w:rPr>
      <w:rFonts w:ascii="Times New Roman" w:hAnsi="Times New Roman" w:eastAsia="宋体" w:cs="Times New Roman"/>
      <w:lang w:val="en-US" w:eastAsia="zh-CN" w:bidi="ar-SA"/>
    </w:rPr>
  </w:style>
  <w:style w:type="paragraph" w:styleId="21">
    <w:name w:val="List Paragraph"/>
    <w:basedOn w:val="1"/>
    <w:autoRedefine/>
    <w:qFormat/>
    <w:uiPriority w:val="1"/>
    <w:pPr>
      <w:ind w:left="220" w:hanging="241"/>
    </w:pPr>
    <w:rPr>
      <w:rFonts w:ascii="宋体" w:hAnsi="宋体" w:eastAsia="宋体" w:cs="宋体"/>
      <w:lang w:val="zh-CN" w:bidi="zh-CN"/>
    </w:rPr>
  </w:style>
  <w:style w:type="paragraph" w:customStyle="1" w:styleId="22">
    <w:name w:val="Table Paragraph"/>
    <w:basedOn w:val="1"/>
    <w:autoRedefine/>
    <w:qFormat/>
    <w:uiPriority w:val="1"/>
    <w:rPr>
      <w:rFonts w:ascii="宋体" w:hAnsi="宋体" w:eastAsia="宋体" w:cs="宋体"/>
      <w:lang w:val="zh-CN" w:bidi="zh-CN"/>
    </w:rPr>
  </w:style>
  <w:style w:type="character" w:customStyle="1" w:styleId="23">
    <w:name w:val="批注框文本 Char"/>
    <w:basedOn w:val="16"/>
    <w:link w:val="7"/>
    <w:autoRedefine/>
    <w:qFormat/>
    <w:uiPriority w:val="0"/>
    <w:rPr>
      <w:rFonts w:ascii="Calibri" w:hAnsi="Calibri" w:eastAsia="仿宋_GB2312"/>
      <w:kern w:val="2"/>
      <w:sz w:val="18"/>
      <w:szCs w:val="18"/>
    </w:rPr>
  </w:style>
  <w:style w:type="character" w:customStyle="1" w:styleId="24">
    <w:name w:val="Body text|1_"/>
    <w:basedOn w:val="16"/>
    <w:link w:val="25"/>
    <w:autoRedefine/>
    <w:qFormat/>
    <w:uiPriority w:val="0"/>
    <w:rPr>
      <w:rFonts w:ascii="宋体" w:hAnsi="宋体" w:cs="宋体"/>
      <w:sz w:val="26"/>
      <w:szCs w:val="26"/>
      <w:lang w:val="zh-TW" w:eastAsia="zh-TW" w:bidi="zh-TW"/>
    </w:rPr>
  </w:style>
  <w:style w:type="paragraph" w:customStyle="1" w:styleId="25">
    <w:name w:val="Body text|1"/>
    <w:basedOn w:val="1"/>
    <w:link w:val="24"/>
    <w:qFormat/>
    <w:uiPriority w:val="0"/>
    <w:pPr>
      <w:spacing w:line="434" w:lineRule="auto"/>
      <w:ind w:firstLine="400"/>
      <w:jc w:val="left"/>
    </w:pPr>
    <w:rPr>
      <w:rFonts w:ascii="宋体" w:hAnsi="宋体" w:eastAsia="宋体" w:cs="宋体"/>
      <w:kern w:val="0"/>
      <w:sz w:val="26"/>
      <w:szCs w:val="26"/>
      <w:lang w:val="zh-TW" w:eastAsia="zh-TW" w:bidi="zh-TW"/>
    </w:rPr>
  </w:style>
  <w:style w:type="character" w:customStyle="1" w:styleId="26">
    <w:name w:val="Heading #3|1_"/>
    <w:basedOn w:val="16"/>
    <w:link w:val="27"/>
    <w:autoRedefine/>
    <w:qFormat/>
    <w:uiPriority w:val="0"/>
    <w:rPr>
      <w:rFonts w:ascii="宋体" w:hAnsi="宋体" w:cs="宋体"/>
      <w:sz w:val="40"/>
      <w:szCs w:val="40"/>
      <w:lang w:val="zh-TW" w:eastAsia="zh-TW" w:bidi="zh-TW"/>
    </w:rPr>
  </w:style>
  <w:style w:type="paragraph" w:customStyle="1" w:styleId="27">
    <w:name w:val="Heading #3|1"/>
    <w:basedOn w:val="1"/>
    <w:link w:val="26"/>
    <w:qFormat/>
    <w:uiPriority w:val="0"/>
    <w:pPr>
      <w:jc w:val="center"/>
      <w:outlineLvl w:val="2"/>
    </w:pPr>
    <w:rPr>
      <w:rFonts w:ascii="宋体" w:hAnsi="宋体" w:eastAsia="宋体" w:cs="宋体"/>
      <w:kern w:val="0"/>
      <w:sz w:val="40"/>
      <w:szCs w:val="40"/>
      <w:lang w:val="zh-TW" w:eastAsia="zh-TW" w:bidi="zh-TW"/>
    </w:rPr>
  </w:style>
  <w:style w:type="character" w:customStyle="1" w:styleId="28">
    <w:name w:val="Heading #4|1_"/>
    <w:basedOn w:val="16"/>
    <w:link w:val="29"/>
    <w:autoRedefine/>
    <w:qFormat/>
    <w:uiPriority w:val="0"/>
    <w:rPr>
      <w:rFonts w:ascii="宋体" w:hAnsi="宋体" w:cs="宋体"/>
      <w:b/>
      <w:bCs/>
      <w:sz w:val="26"/>
      <w:szCs w:val="26"/>
      <w:lang w:val="zh-TW" w:eastAsia="zh-TW" w:bidi="zh-TW"/>
    </w:rPr>
  </w:style>
  <w:style w:type="paragraph" w:customStyle="1" w:styleId="29">
    <w:name w:val="Heading #4|1"/>
    <w:basedOn w:val="1"/>
    <w:link w:val="28"/>
    <w:autoRedefine/>
    <w:qFormat/>
    <w:uiPriority w:val="0"/>
    <w:pPr>
      <w:spacing w:line="563" w:lineRule="exact"/>
      <w:ind w:firstLine="560"/>
      <w:jc w:val="left"/>
      <w:outlineLvl w:val="3"/>
    </w:pPr>
    <w:rPr>
      <w:rFonts w:ascii="宋体" w:hAnsi="宋体" w:eastAsia="宋体" w:cs="宋体"/>
      <w:b/>
      <w:bCs/>
      <w:kern w:val="0"/>
      <w:sz w:val="26"/>
      <w:szCs w:val="26"/>
      <w:lang w:val="zh-TW" w:eastAsia="zh-TW" w:bidi="zh-TW"/>
    </w:rPr>
  </w:style>
  <w:style w:type="character" w:customStyle="1" w:styleId="30">
    <w:name w:val="Other|1_"/>
    <w:basedOn w:val="16"/>
    <w:link w:val="31"/>
    <w:autoRedefine/>
    <w:qFormat/>
    <w:uiPriority w:val="0"/>
    <w:rPr>
      <w:rFonts w:ascii="宋体" w:hAnsi="宋体" w:cs="宋体"/>
      <w:sz w:val="26"/>
      <w:szCs w:val="26"/>
      <w:lang w:val="zh-TW" w:eastAsia="zh-TW" w:bidi="zh-TW"/>
    </w:rPr>
  </w:style>
  <w:style w:type="paragraph" w:customStyle="1" w:styleId="31">
    <w:name w:val="Other|1"/>
    <w:basedOn w:val="1"/>
    <w:link w:val="30"/>
    <w:autoRedefine/>
    <w:qFormat/>
    <w:uiPriority w:val="0"/>
    <w:pPr>
      <w:spacing w:line="434" w:lineRule="auto"/>
      <w:ind w:firstLine="400"/>
      <w:jc w:val="left"/>
    </w:pPr>
    <w:rPr>
      <w:rFonts w:ascii="宋体" w:hAnsi="宋体" w:eastAsia="宋体" w:cs="宋体"/>
      <w:kern w:val="0"/>
      <w:sz w:val="26"/>
      <w:szCs w:val="26"/>
      <w:lang w:val="zh-TW" w:eastAsia="zh-TW" w:bidi="zh-TW"/>
    </w:rPr>
  </w:style>
  <w:style w:type="character" w:customStyle="1" w:styleId="32">
    <w:name w:val="页眉 Char"/>
    <w:basedOn w:val="16"/>
    <w:link w:val="9"/>
    <w:autoRedefine/>
    <w:qFormat/>
    <w:uiPriority w:val="99"/>
    <w:rPr>
      <w:rFonts w:eastAsia="仿宋_GB2312"/>
      <w:kern w:val="2"/>
      <w:sz w:val="18"/>
      <w:szCs w:val="18"/>
    </w:rPr>
  </w:style>
  <w:style w:type="character" w:customStyle="1" w:styleId="33">
    <w:name w:val="页脚 Char"/>
    <w:basedOn w:val="16"/>
    <w:link w:val="8"/>
    <w:autoRedefine/>
    <w:qFormat/>
    <w:uiPriority w:val="99"/>
    <w:rPr>
      <w:rFonts w:eastAsia="仿宋_GB2312"/>
      <w:kern w:val="2"/>
      <w:sz w:val="18"/>
      <w:szCs w:val="18"/>
    </w:rPr>
  </w:style>
  <w:style w:type="paragraph" w:customStyle="1" w:styleId="34">
    <w:name w:val="Default"/>
    <w:autoRedefine/>
    <w:unhideWhenUsed/>
    <w:qFormat/>
    <w:uiPriority w:val="99"/>
    <w:pPr>
      <w:widowControl w:val="0"/>
      <w:autoSpaceDE w:val="0"/>
      <w:autoSpaceDN w:val="0"/>
      <w:adjustRightInd w:val="0"/>
      <w:spacing w:beforeLines="0" w:afterLines="0"/>
    </w:pPr>
    <w:rPr>
      <w:rFonts w:hint="default" w:ascii="FangSong_GB2312" w:hAnsi="FangSong_GB2312" w:eastAsia="FangSong_GB2312"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5393</Words>
  <Characters>5539</Characters>
  <Lines>70</Lines>
  <Paragraphs>19</Paragraphs>
  <TotalTime>6</TotalTime>
  <ScaleCrop>false</ScaleCrop>
  <LinksUpToDate>false</LinksUpToDate>
  <CharactersWithSpaces>6526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2023-10-09T07:00:00Z</dcterms:created>
  <dc:creator>晓晓晓(❁´◡`❁)*✲ﾟ*雨</dc:creator>
  <cp:lastModifiedBy>Administrator</cp:lastModifiedBy>
  <cp:lastPrinted>2025-04-08T04:55:00Z</cp:lastPrinted>
  <dcterms:modified xsi:type="dcterms:W3CDTF">2025-04-08T07:06:41Z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SaveFontToCloudKey">
    <vt:lpwstr>269100921_cloud</vt:lpwstr>
  </property>
  <property fmtid="{D5CDD505-2E9C-101B-9397-08002B2CF9AE}" pid="4" name="ICV">
    <vt:lpwstr>911FF7012FB549A8BEC314FE61F807EF_13</vt:lpwstr>
  </property>
  <property fmtid="{D5CDD505-2E9C-101B-9397-08002B2CF9AE}" pid="5" name="KSOTemplateDocerSaveRecord">
    <vt:lpwstr>eyJoZGlkIjoiOTQ2M2U2MzE1MjJkOWE0ZWE0MjdmOWIwNGQ1OGYxZTkiLCJ1c2VySWQiOiIyNjkxMDA5MjEifQ==</vt:lpwstr>
  </property>
</Properties>
</file>